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4692E" w:rsidRDefault="00D4692E">
      <w:pPr>
        <w:rPr>
          <w:rFonts w:ascii="仿宋" w:eastAsia="仿宋" w:hAnsi="仿宋" w:hint="eastAsia"/>
          <w:color w:val="000000" w:themeColor="text1"/>
          <w:sz w:val="84"/>
          <w:szCs w:val="84"/>
          <w:u w:val="single"/>
        </w:rPr>
      </w:pPr>
    </w:p>
    <w:p w:rsidR="00D4692E" w:rsidRDefault="00D4692E">
      <w:pPr>
        <w:rPr>
          <w:rFonts w:ascii="仿宋" w:eastAsia="仿宋" w:hAnsi="仿宋" w:hint="eastAsia"/>
          <w:color w:val="000000" w:themeColor="text1"/>
          <w:sz w:val="84"/>
          <w:szCs w:val="84"/>
          <w:u w:val="single"/>
        </w:rPr>
      </w:pPr>
    </w:p>
    <w:p w:rsidR="00D4692E" w:rsidRDefault="00D4692E">
      <w:pPr>
        <w:rPr>
          <w:rFonts w:ascii="仿宋" w:eastAsia="仿宋" w:hAnsi="仿宋" w:hint="eastAsia"/>
          <w:color w:val="000000" w:themeColor="text1"/>
          <w:sz w:val="84"/>
          <w:szCs w:val="84"/>
          <w:u w:val="single"/>
        </w:rPr>
      </w:pPr>
    </w:p>
    <w:p w:rsidR="00D4692E" w:rsidRDefault="00D4692E">
      <w:pPr>
        <w:rPr>
          <w:rFonts w:ascii="仿宋" w:eastAsia="仿宋" w:hAnsi="仿宋" w:hint="eastAsia"/>
          <w:color w:val="000000" w:themeColor="text1"/>
          <w:sz w:val="84"/>
          <w:szCs w:val="84"/>
          <w:u w:val="single"/>
        </w:rPr>
      </w:pPr>
    </w:p>
    <w:p w:rsidR="00D4692E" w:rsidRDefault="00000000">
      <w:pPr>
        <w:ind w:firstLineChars="100" w:firstLine="522"/>
        <w:rPr>
          <w:rFonts w:asciiTheme="majorEastAsia" w:eastAsiaTheme="majorEastAsia" w:hAnsiTheme="majorEastAsia" w:hint="eastAsia"/>
          <w:b/>
          <w:color w:val="000000" w:themeColor="text1"/>
          <w:sz w:val="52"/>
          <w:szCs w:val="52"/>
        </w:rPr>
      </w:pPr>
      <w:r>
        <w:rPr>
          <w:rFonts w:asciiTheme="majorEastAsia" w:eastAsiaTheme="majorEastAsia" w:hAnsiTheme="majorEastAsia" w:hint="eastAsia"/>
          <w:b/>
          <w:color w:val="000000" w:themeColor="text1"/>
          <w:sz w:val="52"/>
          <w:szCs w:val="52"/>
        </w:rPr>
        <w:t>202</w:t>
      </w:r>
      <w:r>
        <w:rPr>
          <w:rFonts w:asciiTheme="majorEastAsia" w:eastAsiaTheme="majorEastAsia" w:hAnsiTheme="majorEastAsia"/>
          <w:b/>
          <w:color w:val="000000" w:themeColor="text1"/>
          <w:sz w:val="52"/>
          <w:szCs w:val="52"/>
        </w:rPr>
        <w:t>4</w:t>
      </w:r>
      <w:r>
        <w:rPr>
          <w:rFonts w:asciiTheme="majorEastAsia" w:eastAsiaTheme="majorEastAsia" w:hAnsiTheme="majorEastAsia" w:hint="eastAsia"/>
          <w:b/>
          <w:color w:val="000000" w:themeColor="text1"/>
          <w:sz w:val="52"/>
          <w:szCs w:val="52"/>
        </w:rPr>
        <w:t>年海南师范大学（本级）预算</w:t>
      </w:r>
    </w:p>
    <w:p w:rsidR="00D4692E" w:rsidRDefault="00D4692E">
      <w:pPr>
        <w:ind w:firstLine="1680"/>
        <w:jc w:val="center"/>
        <w:rPr>
          <w:rFonts w:ascii="仿宋" w:eastAsia="仿宋" w:hAnsi="仿宋" w:hint="eastAsia"/>
          <w:b/>
          <w:color w:val="000000" w:themeColor="text1"/>
          <w:sz w:val="84"/>
          <w:szCs w:val="84"/>
        </w:rPr>
      </w:pPr>
    </w:p>
    <w:p w:rsidR="00D4692E" w:rsidRDefault="00D4692E">
      <w:pPr>
        <w:ind w:firstLine="1680"/>
        <w:jc w:val="center"/>
        <w:rPr>
          <w:rFonts w:ascii="仿宋" w:eastAsia="仿宋" w:hAnsi="仿宋" w:hint="eastAsia"/>
          <w:color w:val="000000" w:themeColor="text1"/>
          <w:sz w:val="84"/>
          <w:szCs w:val="84"/>
        </w:rPr>
      </w:pPr>
    </w:p>
    <w:p w:rsidR="00D4692E" w:rsidRDefault="00D4692E">
      <w:pPr>
        <w:ind w:firstLine="1680"/>
        <w:jc w:val="center"/>
        <w:rPr>
          <w:rFonts w:ascii="仿宋" w:eastAsia="仿宋" w:hAnsi="仿宋" w:hint="eastAsia"/>
          <w:color w:val="000000" w:themeColor="text1"/>
          <w:sz w:val="84"/>
          <w:szCs w:val="84"/>
        </w:rPr>
      </w:pPr>
    </w:p>
    <w:p w:rsidR="00D4692E" w:rsidRDefault="00D4692E">
      <w:pPr>
        <w:ind w:firstLine="1680"/>
        <w:jc w:val="center"/>
        <w:rPr>
          <w:rFonts w:ascii="仿宋" w:eastAsia="仿宋" w:hAnsi="仿宋" w:hint="eastAsia"/>
          <w:color w:val="000000" w:themeColor="text1"/>
          <w:sz w:val="84"/>
          <w:szCs w:val="84"/>
        </w:rPr>
      </w:pPr>
    </w:p>
    <w:p w:rsidR="00D4692E" w:rsidRDefault="00D4692E">
      <w:pPr>
        <w:ind w:firstLine="1680"/>
        <w:jc w:val="center"/>
        <w:rPr>
          <w:rFonts w:ascii="仿宋" w:eastAsia="仿宋" w:hAnsi="仿宋" w:hint="eastAsia"/>
          <w:color w:val="000000" w:themeColor="text1"/>
          <w:sz w:val="84"/>
          <w:szCs w:val="84"/>
        </w:rPr>
      </w:pPr>
    </w:p>
    <w:p w:rsidR="00D4692E" w:rsidRDefault="00D4692E">
      <w:pPr>
        <w:spacing w:line="560" w:lineRule="exact"/>
        <w:jc w:val="center"/>
        <w:rPr>
          <w:rFonts w:ascii="仿宋" w:eastAsia="仿宋" w:hAnsi="仿宋" w:hint="eastAsia"/>
          <w:color w:val="000000" w:themeColor="text1"/>
          <w:sz w:val="84"/>
          <w:szCs w:val="84"/>
        </w:rPr>
      </w:pPr>
    </w:p>
    <w:p w:rsidR="00D4692E" w:rsidRDefault="00000000">
      <w:pPr>
        <w:spacing w:line="560" w:lineRule="exact"/>
        <w:jc w:val="center"/>
        <w:rPr>
          <w:rFonts w:ascii="仿宋" w:eastAsia="仿宋" w:hAnsi="仿宋" w:hint="eastAsia"/>
          <w:color w:val="000000" w:themeColor="text1"/>
          <w:sz w:val="52"/>
          <w:szCs w:val="52"/>
        </w:rPr>
      </w:pPr>
      <w:r>
        <w:rPr>
          <w:rFonts w:ascii="仿宋" w:eastAsia="仿宋" w:hAnsi="仿宋" w:hint="eastAsia"/>
          <w:color w:val="000000" w:themeColor="text1"/>
          <w:sz w:val="52"/>
          <w:szCs w:val="52"/>
        </w:rPr>
        <w:lastRenderedPageBreak/>
        <w:t>目    录</w:t>
      </w:r>
    </w:p>
    <w:p w:rsidR="00D4692E" w:rsidRDefault="00D4692E">
      <w:pPr>
        <w:spacing w:line="560" w:lineRule="exact"/>
        <w:jc w:val="center"/>
        <w:rPr>
          <w:rFonts w:ascii="仿宋" w:eastAsia="仿宋" w:hAnsi="仿宋" w:hint="eastAsia"/>
          <w:color w:val="000000" w:themeColor="text1"/>
          <w:sz w:val="52"/>
          <w:szCs w:val="52"/>
        </w:rPr>
      </w:pPr>
    </w:p>
    <w:p w:rsidR="00D4692E" w:rsidRDefault="00D4692E">
      <w:pPr>
        <w:spacing w:line="560" w:lineRule="exact"/>
        <w:jc w:val="center"/>
        <w:rPr>
          <w:rFonts w:ascii="仿宋" w:eastAsia="仿宋" w:hAnsi="仿宋" w:hint="eastAsia"/>
          <w:color w:val="000000" w:themeColor="text1"/>
          <w:sz w:val="52"/>
          <w:szCs w:val="52"/>
        </w:rPr>
      </w:pPr>
    </w:p>
    <w:p w:rsidR="00D4692E" w:rsidRDefault="00000000">
      <w:pPr>
        <w:pStyle w:val="1"/>
        <w:numPr>
          <w:ilvl w:val="0"/>
          <w:numId w:val="1"/>
        </w:numPr>
        <w:ind w:firstLineChars="0" w:hanging="2030"/>
        <w:jc w:val="left"/>
        <w:rPr>
          <w:rFonts w:ascii="黑体" w:eastAsia="黑体" w:hAnsi="黑体" w:hint="eastAsia"/>
          <w:b/>
          <w:color w:val="000000" w:themeColor="text1"/>
          <w:sz w:val="32"/>
          <w:szCs w:val="32"/>
        </w:rPr>
      </w:pPr>
      <w:r>
        <w:rPr>
          <w:rFonts w:ascii="黑体" w:eastAsia="黑体" w:hAnsi="黑体" w:hint="eastAsia"/>
          <w:b/>
          <w:color w:val="000000" w:themeColor="text1"/>
          <w:sz w:val="32"/>
          <w:szCs w:val="32"/>
        </w:rPr>
        <w:t>海南师范大学（本级）概况</w:t>
      </w:r>
    </w:p>
    <w:p w:rsidR="00D4692E" w:rsidRDefault="00000000">
      <w:pPr>
        <w:pStyle w:val="1"/>
        <w:numPr>
          <w:ilvl w:val="0"/>
          <w:numId w:val="2"/>
        </w:numPr>
        <w:ind w:firstLineChars="0"/>
        <w:jc w:val="left"/>
        <w:rPr>
          <w:rFonts w:ascii="黑体" w:eastAsia="黑体" w:hAnsi="黑体" w:hint="eastAsia"/>
          <w:sz w:val="32"/>
          <w:szCs w:val="32"/>
        </w:rPr>
      </w:pPr>
      <w:r>
        <w:rPr>
          <w:rFonts w:ascii="仿宋" w:eastAsia="仿宋" w:hAnsi="仿宋" w:hint="eastAsia"/>
          <w:color w:val="000000" w:themeColor="text1"/>
          <w:sz w:val="32"/>
          <w:szCs w:val="32"/>
        </w:rPr>
        <w:t>主要职能</w:t>
      </w:r>
    </w:p>
    <w:p w:rsidR="00D4692E" w:rsidRDefault="00000000">
      <w:pPr>
        <w:pStyle w:val="af"/>
        <w:ind w:firstLineChars="0" w:firstLine="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二、部门预算单位构成（单位公开没有这部分内容）</w:t>
      </w:r>
    </w:p>
    <w:p w:rsidR="00D4692E" w:rsidRDefault="00000000">
      <w:pPr>
        <w:pStyle w:val="1"/>
        <w:numPr>
          <w:ilvl w:val="0"/>
          <w:numId w:val="1"/>
        </w:numPr>
        <w:ind w:firstLineChars="0" w:hanging="2030"/>
        <w:jc w:val="left"/>
        <w:rPr>
          <w:rFonts w:ascii="仿宋" w:eastAsia="仿宋" w:hAnsi="仿宋" w:hint="eastAsia"/>
          <w:color w:val="000000" w:themeColor="text1"/>
          <w:sz w:val="32"/>
          <w:szCs w:val="32"/>
        </w:rPr>
      </w:pPr>
      <w:r>
        <w:rPr>
          <w:rFonts w:ascii="黑体" w:eastAsia="黑体" w:hAnsi="黑体" w:hint="eastAsia"/>
          <w:b/>
          <w:color w:val="000000" w:themeColor="text1"/>
          <w:sz w:val="32"/>
          <w:szCs w:val="32"/>
        </w:rPr>
        <w:t>海南师范大学（本级）</w:t>
      </w:r>
      <w:r>
        <w:rPr>
          <w:rFonts w:ascii="黑体" w:eastAsia="黑体" w:hAnsi="黑体"/>
          <w:b/>
          <w:color w:val="000000" w:themeColor="text1"/>
          <w:sz w:val="32"/>
          <w:szCs w:val="32"/>
        </w:rPr>
        <w:t>2024</w:t>
      </w:r>
      <w:r>
        <w:rPr>
          <w:rFonts w:ascii="黑体" w:eastAsia="黑体" w:hAnsi="黑体" w:hint="eastAsia"/>
          <w:b/>
          <w:color w:val="000000" w:themeColor="text1"/>
          <w:sz w:val="32"/>
          <w:szCs w:val="32"/>
        </w:rPr>
        <w:t>年预算表</w:t>
      </w:r>
    </w:p>
    <w:p w:rsidR="00D4692E" w:rsidRDefault="00000000">
      <w:pPr>
        <w:pStyle w:val="1"/>
        <w:ind w:firstLineChars="0" w:firstLine="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一、财政拨款收支总表</w:t>
      </w:r>
    </w:p>
    <w:p w:rsidR="00D4692E" w:rsidRDefault="00000000">
      <w:pPr>
        <w:pStyle w:val="1"/>
        <w:numPr>
          <w:ilvl w:val="0"/>
          <w:numId w:val="2"/>
        </w:numPr>
        <w:ind w:firstLineChars="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一般公共预算支出表</w:t>
      </w:r>
    </w:p>
    <w:p w:rsidR="00D4692E" w:rsidRDefault="00000000">
      <w:pPr>
        <w:pStyle w:val="1"/>
        <w:numPr>
          <w:ilvl w:val="0"/>
          <w:numId w:val="2"/>
        </w:numPr>
        <w:ind w:firstLineChars="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一般公共预算基本支出表</w:t>
      </w:r>
    </w:p>
    <w:p w:rsidR="00D4692E" w:rsidRDefault="00000000">
      <w:pPr>
        <w:pStyle w:val="1"/>
        <w:numPr>
          <w:ilvl w:val="0"/>
          <w:numId w:val="2"/>
        </w:numPr>
        <w:ind w:firstLineChars="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一般公共预算“三公”经费支出表</w:t>
      </w:r>
    </w:p>
    <w:p w:rsidR="00D4692E" w:rsidRDefault="00000000">
      <w:pPr>
        <w:pStyle w:val="1"/>
        <w:numPr>
          <w:ilvl w:val="0"/>
          <w:numId w:val="2"/>
        </w:numPr>
        <w:ind w:firstLineChars="0"/>
        <w:rPr>
          <w:rFonts w:ascii="仿宋" w:eastAsia="仿宋" w:hAnsi="仿宋" w:hint="eastAsia"/>
          <w:color w:val="000000" w:themeColor="text1"/>
          <w:sz w:val="32"/>
          <w:szCs w:val="32"/>
        </w:rPr>
      </w:pPr>
      <w:r>
        <w:rPr>
          <w:rFonts w:ascii="仿宋" w:eastAsia="仿宋" w:hAnsi="仿宋" w:hint="eastAsia"/>
          <w:color w:val="000000" w:themeColor="text1"/>
          <w:sz w:val="32"/>
          <w:szCs w:val="32"/>
        </w:rPr>
        <w:t>政府性基金预算支出表。</w:t>
      </w:r>
    </w:p>
    <w:p w:rsidR="00D4692E" w:rsidRDefault="00000000">
      <w:pPr>
        <w:pStyle w:val="1"/>
        <w:numPr>
          <w:ilvl w:val="0"/>
          <w:numId w:val="2"/>
        </w:numPr>
        <w:ind w:firstLineChars="0"/>
        <w:rPr>
          <w:rFonts w:ascii="仿宋" w:eastAsia="仿宋" w:hAnsi="仿宋" w:hint="eastAsia"/>
          <w:color w:val="000000" w:themeColor="text1"/>
          <w:sz w:val="32"/>
          <w:szCs w:val="32"/>
        </w:rPr>
      </w:pPr>
      <w:r>
        <w:rPr>
          <w:rFonts w:ascii="仿宋" w:eastAsia="仿宋" w:hAnsi="仿宋" w:hint="eastAsia"/>
          <w:color w:val="000000" w:themeColor="text1"/>
          <w:sz w:val="32"/>
          <w:szCs w:val="32"/>
        </w:rPr>
        <w:t>政府性基金预算“三公”经费支出表</w:t>
      </w:r>
    </w:p>
    <w:p w:rsidR="00D4692E" w:rsidRDefault="00000000">
      <w:pPr>
        <w:pStyle w:val="1"/>
        <w:numPr>
          <w:ilvl w:val="0"/>
          <w:numId w:val="2"/>
        </w:numPr>
        <w:ind w:firstLineChars="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部门（单位）收支总表</w:t>
      </w:r>
    </w:p>
    <w:p w:rsidR="00D4692E" w:rsidRDefault="00000000">
      <w:pPr>
        <w:pStyle w:val="1"/>
        <w:numPr>
          <w:ilvl w:val="0"/>
          <w:numId w:val="2"/>
        </w:numPr>
        <w:ind w:firstLineChars="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部门（单位）收入总表</w:t>
      </w:r>
    </w:p>
    <w:p w:rsidR="00D4692E" w:rsidRDefault="00000000">
      <w:pPr>
        <w:pStyle w:val="1"/>
        <w:numPr>
          <w:ilvl w:val="0"/>
          <w:numId w:val="2"/>
        </w:numPr>
        <w:ind w:firstLineChars="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部门</w:t>
      </w:r>
      <w:r>
        <w:rPr>
          <w:rFonts w:ascii="仿宋" w:eastAsia="仿宋" w:hAnsi="仿宋" w:cs="仿宋_GB2312" w:hint="eastAsia"/>
          <w:color w:val="000000" w:themeColor="text1"/>
          <w:sz w:val="32"/>
          <w:szCs w:val="32"/>
        </w:rPr>
        <w:t>（</w:t>
      </w:r>
      <w:r>
        <w:rPr>
          <w:rFonts w:ascii="仿宋" w:eastAsia="仿宋" w:hAnsi="仿宋" w:hint="eastAsia"/>
          <w:color w:val="000000" w:themeColor="text1"/>
          <w:sz w:val="32"/>
          <w:szCs w:val="32"/>
        </w:rPr>
        <w:t>单位）支出总表</w:t>
      </w:r>
    </w:p>
    <w:p w:rsidR="00D4692E" w:rsidRDefault="00000000">
      <w:pPr>
        <w:pStyle w:val="1"/>
        <w:ind w:firstLineChars="0" w:firstLine="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十、项目支出绩效信息</w:t>
      </w:r>
      <w:r>
        <w:rPr>
          <w:rFonts w:ascii="仿宋" w:eastAsia="仿宋" w:hAnsi="仿宋" w:cs="仿宋_GB2312" w:hint="eastAsia"/>
          <w:color w:val="000000" w:themeColor="text1"/>
          <w:sz w:val="32"/>
          <w:szCs w:val="32"/>
        </w:rPr>
        <w:t>表</w:t>
      </w:r>
    </w:p>
    <w:p w:rsidR="00D4692E" w:rsidRDefault="00000000">
      <w:pPr>
        <w:pStyle w:val="1"/>
        <w:numPr>
          <w:ilvl w:val="0"/>
          <w:numId w:val="1"/>
        </w:numPr>
        <w:ind w:firstLineChars="0" w:hanging="2030"/>
        <w:jc w:val="left"/>
        <w:rPr>
          <w:rFonts w:ascii="黑体" w:eastAsia="黑体" w:hAnsi="黑体" w:cs="仿宋_GB2312" w:hint="eastAsia"/>
          <w:b/>
          <w:color w:val="000000" w:themeColor="text1"/>
          <w:sz w:val="32"/>
          <w:szCs w:val="32"/>
        </w:rPr>
      </w:pPr>
      <w:r>
        <w:rPr>
          <w:rFonts w:ascii="黑体" w:eastAsia="黑体" w:hAnsi="黑体" w:hint="eastAsia"/>
          <w:b/>
          <w:color w:val="000000" w:themeColor="text1"/>
          <w:sz w:val="32"/>
          <w:szCs w:val="32"/>
        </w:rPr>
        <w:t>海南师范大学（本级）</w:t>
      </w:r>
      <w:r>
        <w:rPr>
          <w:rFonts w:ascii="黑体" w:eastAsia="黑体" w:hAnsi="黑体"/>
          <w:b/>
          <w:color w:val="000000" w:themeColor="text1"/>
          <w:sz w:val="32"/>
          <w:szCs w:val="32"/>
        </w:rPr>
        <w:t>2024</w:t>
      </w:r>
      <w:r>
        <w:rPr>
          <w:rFonts w:ascii="黑体" w:eastAsia="黑体" w:hAnsi="黑体" w:hint="eastAsia"/>
          <w:b/>
          <w:color w:val="000000" w:themeColor="text1"/>
          <w:sz w:val="32"/>
          <w:szCs w:val="32"/>
        </w:rPr>
        <w:t>年预算情况说明</w:t>
      </w:r>
    </w:p>
    <w:p w:rsidR="00D4692E" w:rsidRDefault="00000000">
      <w:pPr>
        <w:pStyle w:val="1"/>
        <w:numPr>
          <w:ilvl w:val="0"/>
          <w:numId w:val="1"/>
        </w:numPr>
        <w:ind w:firstLineChars="0" w:hanging="2030"/>
        <w:jc w:val="left"/>
        <w:rPr>
          <w:rFonts w:ascii="黑体" w:eastAsia="黑体" w:hAnsi="黑体" w:hint="eastAsia"/>
          <w:b/>
          <w:color w:val="000000" w:themeColor="text1"/>
          <w:sz w:val="32"/>
          <w:szCs w:val="32"/>
        </w:rPr>
      </w:pPr>
      <w:r>
        <w:rPr>
          <w:rFonts w:ascii="黑体" w:eastAsia="黑体" w:hAnsi="黑体" w:hint="eastAsia"/>
          <w:b/>
          <w:color w:val="000000" w:themeColor="text1"/>
          <w:sz w:val="32"/>
          <w:szCs w:val="32"/>
        </w:rPr>
        <w:t>名词解释</w:t>
      </w:r>
    </w:p>
    <w:p w:rsidR="00D4692E" w:rsidRDefault="00D4692E">
      <w:pPr>
        <w:pStyle w:val="1"/>
        <w:ind w:firstLineChars="580" w:firstLine="1863"/>
        <w:jc w:val="center"/>
        <w:rPr>
          <w:rFonts w:asciiTheme="minorEastAsia" w:eastAsiaTheme="minorEastAsia" w:hAnsiTheme="minorEastAsia" w:hint="eastAsia"/>
          <w:b/>
          <w:color w:val="000000" w:themeColor="text1"/>
          <w:sz w:val="32"/>
          <w:szCs w:val="32"/>
        </w:rPr>
      </w:pPr>
    </w:p>
    <w:p w:rsidR="00D4692E" w:rsidRDefault="00D4692E">
      <w:pPr>
        <w:pStyle w:val="1"/>
        <w:ind w:firstLineChars="580" w:firstLine="1863"/>
        <w:jc w:val="center"/>
        <w:rPr>
          <w:rFonts w:asciiTheme="minorEastAsia" w:eastAsiaTheme="minorEastAsia" w:hAnsiTheme="minorEastAsia" w:hint="eastAsia"/>
          <w:b/>
          <w:color w:val="000000" w:themeColor="text1"/>
          <w:sz w:val="32"/>
          <w:szCs w:val="32"/>
        </w:rPr>
      </w:pPr>
    </w:p>
    <w:p w:rsidR="00D4692E" w:rsidRDefault="00D4692E">
      <w:pPr>
        <w:pStyle w:val="1"/>
        <w:ind w:firstLineChars="580" w:firstLine="1863"/>
        <w:jc w:val="center"/>
        <w:rPr>
          <w:rFonts w:asciiTheme="minorEastAsia" w:eastAsiaTheme="minorEastAsia" w:hAnsiTheme="minorEastAsia" w:hint="eastAsia"/>
          <w:b/>
          <w:color w:val="000000" w:themeColor="text1"/>
          <w:sz w:val="32"/>
          <w:szCs w:val="32"/>
        </w:rPr>
      </w:pPr>
    </w:p>
    <w:p w:rsidR="00D4692E" w:rsidRDefault="00000000">
      <w:pPr>
        <w:pStyle w:val="1"/>
        <w:ind w:firstLineChars="0" w:firstLine="0"/>
        <w:jc w:val="center"/>
        <w:rPr>
          <w:rFonts w:ascii="黑体" w:eastAsia="黑体" w:hAnsi="黑体" w:hint="eastAsia"/>
          <w:b/>
          <w:color w:val="000000" w:themeColor="text1"/>
          <w:sz w:val="32"/>
          <w:szCs w:val="32"/>
        </w:rPr>
      </w:pPr>
      <w:r>
        <w:rPr>
          <w:rFonts w:ascii="黑体" w:eastAsia="黑体" w:hAnsi="黑体" w:hint="eastAsia"/>
          <w:b/>
          <w:color w:val="000000" w:themeColor="text1"/>
          <w:sz w:val="32"/>
          <w:szCs w:val="32"/>
        </w:rPr>
        <w:t>第一部分海南师范大学</w:t>
      </w:r>
      <w:r>
        <w:rPr>
          <w:rFonts w:ascii="黑体" w:eastAsia="黑体" w:hAnsi="黑体"/>
          <w:b/>
          <w:color w:val="000000" w:themeColor="text1"/>
          <w:sz w:val="32"/>
          <w:szCs w:val="32"/>
        </w:rPr>
        <w:t>(本级)概况</w:t>
      </w:r>
    </w:p>
    <w:p w:rsidR="00D4692E" w:rsidRDefault="00000000">
      <w:pPr>
        <w:spacing w:line="600" w:lineRule="exact"/>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按照预算管理有关规定，目前我校预算编制实行全口径预算制度，我校机构设置有：机关教辅机构35个、群团组织3个、教学单位23个、下属（附属）单位6个。</w:t>
      </w:r>
    </w:p>
    <w:p w:rsidR="00D4692E" w:rsidRDefault="00000000">
      <w:pPr>
        <w:ind w:firstLineChars="200" w:firstLine="643"/>
        <w:rPr>
          <w:rStyle w:val="ab"/>
          <w:rFonts w:ascii="仿宋_GB2312" w:eastAsia="仿宋_GB2312" w:hAnsi="仿宋_GB2312" w:cs="仿宋_GB2312"/>
          <w:b w:val="0"/>
          <w:color w:val="000000" w:themeColor="text1"/>
          <w:sz w:val="32"/>
          <w:szCs w:val="32"/>
        </w:rPr>
      </w:pPr>
      <w:r>
        <w:rPr>
          <w:rFonts w:ascii="仿宋_GB2312" w:eastAsia="仿宋_GB2312" w:hAnsi="仿宋_GB2312" w:cs="仿宋_GB2312" w:hint="eastAsia"/>
          <w:b/>
          <w:color w:val="000000" w:themeColor="text1"/>
          <w:sz w:val="32"/>
          <w:szCs w:val="32"/>
        </w:rPr>
        <w:t>一、主要职能</w:t>
      </w:r>
      <w:r>
        <w:rPr>
          <w:rStyle w:val="ab"/>
          <w:rFonts w:ascii="仿宋_GB2312" w:eastAsia="仿宋_GB2312" w:hAnsi="仿宋_GB2312" w:cs="仿宋_GB2312" w:hint="eastAsia"/>
          <w:b w:val="0"/>
          <w:color w:val="000000" w:themeColor="text1"/>
          <w:sz w:val="32"/>
          <w:szCs w:val="32"/>
        </w:rPr>
        <w:t>   </w:t>
      </w:r>
    </w:p>
    <w:p w:rsidR="00D4692E" w:rsidRDefault="00000000">
      <w:pPr>
        <w:spacing w:line="560" w:lineRule="atLeast"/>
        <w:ind w:firstLineChars="200" w:firstLine="643"/>
        <w:rPr>
          <w:rFonts w:ascii="仿宋_GB2312" w:eastAsia="仿宋_GB2312" w:hAnsi="仿宋_GB2312" w:cs="仿宋_GB2312"/>
          <w:color w:val="000000" w:themeColor="text1"/>
          <w:sz w:val="32"/>
          <w:szCs w:val="32"/>
        </w:rPr>
      </w:pPr>
      <w:r>
        <w:rPr>
          <w:rStyle w:val="ab"/>
          <w:rFonts w:ascii="仿宋_GB2312" w:eastAsia="仿宋_GB2312" w:hAnsi="仿宋_GB2312" w:cs="仿宋_GB2312" w:hint="eastAsia"/>
          <w:color w:val="000000" w:themeColor="text1"/>
          <w:sz w:val="32"/>
          <w:szCs w:val="32"/>
        </w:rPr>
        <w:t> </w:t>
      </w:r>
      <w:r>
        <w:rPr>
          <w:rFonts w:ascii="仿宋_GB2312" w:eastAsia="仿宋_GB2312" w:hAnsi="仿宋_GB2312" w:cs="仿宋_GB2312" w:hint="eastAsia"/>
          <w:color w:val="000000" w:themeColor="text1"/>
          <w:sz w:val="32"/>
          <w:szCs w:val="32"/>
        </w:rPr>
        <w:t>（一）部门（单位）职责</w:t>
      </w:r>
    </w:p>
    <w:p w:rsidR="00D4692E" w:rsidRDefault="00000000">
      <w:pPr>
        <w:spacing w:line="560" w:lineRule="atLeas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海南师范大学以培养高等学历师资人才，促进教育事 业发展为宗旨，贯彻落实党和国家以及省委、省政府高等 教育工作的有关规定，按照《中华人民共和国高等教育 法》实施高等教育工作，培养高级专业技术人才；承担相 关科学研究、学术交流和科技成果推广转化工作；承担在 职教师培训和成人教育、职业技术教育工作；承办上级部 门交办的其他工作</w:t>
      </w:r>
      <w:r>
        <w:rPr>
          <w:rFonts w:ascii="宋体" w:hAnsi="宋体" w:cs="宋体"/>
          <w:sz w:val="24"/>
          <w:szCs w:val="24"/>
        </w:rPr>
        <w:t>。</w:t>
      </w:r>
    </w:p>
    <w:p w:rsidR="00D4692E" w:rsidRDefault="00000000">
      <w:pPr>
        <w:spacing w:line="600" w:lineRule="exact"/>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（二）纳入我校预算编制范围的部门包括：</w:t>
      </w:r>
    </w:p>
    <w:p w:rsidR="00D4692E" w:rsidRDefault="00000000">
      <w:pPr>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机关教辅单位35个：党政办公室（督查督导办公室）、组织部（离退休工作办公室、机关党委）、宣传部、统战部、人事处（教师工作部）、学生工作部（学生工作处、人民武装部）、纪检监察一处（审计处）、纪检监察二处（巡查工作办公室）、教务处、采购与招投标管理处、后勤管理处（基建处）、国际合作与交流处、国内合作与发展处、财务处（国有资产管理处）、招生就业处（学生创新创业指导中心）、保卫处（应急管理办公</w:t>
      </w:r>
      <w:r>
        <w:rPr>
          <w:rFonts w:ascii="仿宋_GB2312" w:eastAsia="仿宋_GB2312" w:hAnsi="仿宋_GB2312" w:cs="仿宋_GB2312" w:hint="eastAsia"/>
          <w:color w:val="000000" w:themeColor="text1"/>
          <w:sz w:val="32"/>
          <w:szCs w:val="32"/>
        </w:rPr>
        <w:lastRenderedPageBreak/>
        <w:t>室）、图书馆（档案馆、馆藏中心）、学报编辑部、信息网络与数据中心（省教育网络中心、信息办公室）、继续教育学院（高校师资培训中心、职教师资培训中心）、发展规划与学科建设中心、研究生学院（研究生工作部）、海南教育改革与发展研究院（基础教育课程与教学研究基地）、人才服务中心、党委党校、通识教育中心、东坡书院、科学技术院、人文社会科学院、实验室建设与管理中心、非学历教育管理中心、基础教育集团、财务服务中心、教学质量监控与评价中心、创新教育与实践教学中心。</w:t>
      </w:r>
    </w:p>
    <w:p w:rsidR="00D4692E" w:rsidRDefault="00000000">
      <w:pPr>
        <w:spacing w:line="600" w:lineRule="exact"/>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2.群团组织3个：教育工会、共青团、妇女联合会。</w:t>
      </w:r>
    </w:p>
    <w:p w:rsidR="00D4692E" w:rsidRDefault="00000000">
      <w:pPr>
        <w:spacing w:line="600" w:lineRule="exact"/>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教学单位23个学院：初等教育学院、文学院、新闻传播与影视学院、经济与管理学院、音乐学院（民族民间文艺发展中心南海音乐文化研究基地）、美术学院、物理与电子工程学院、信息科学技术学院、化学与化工学院、生命科学学院（生物多样性博物馆）、地理与环境科学学院、马克思主义学院（中国特色社会主义理论研究中心、生态文明研究中心、马克思主义理论研究和建设的协同创新基地、海上丝绸之路研究院）、法学院（海南经济特区法治战略研究基地、海南省廉洁文化研究基地）、外国语学院（出国人员外语培训中心、国际语言服务学院）、数学与统计学院（数据科学与智慧教育教育部重点实验室）、体育学院、旅游学院、国际教育学院（东南亚汉语推广师资培训基地、华文教育基地、海南来</w:t>
      </w:r>
      <w:proofErr w:type="gramStart"/>
      <w:r>
        <w:rPr>
          <w:rFonts w:ascii="仿宋_GB2312" w:eastAsia="仿宋_GB2312" w:hAnsi="仿宋_GB2312" w:cs="仿宋_GB2312" w:hint="eastAsia"/>
          <w:color w:val="000000" w:themeColor="text1"/>
          <w:sz w:val="32"/>
          <w:szCs w:val="32"/>
        </w:rPr>
        <w:t>琼国际</w:t>
      </w:r>
      <w:proofErr w:type="gramEnd"/>
      <w:r>
        <w:rPr>
          <w:rFonts w:ascii="仿宋_GB2312" w:eastAsia="仿宋_GB2312" w:hAnsi="仿宋_GB2312" w:cs="仿宋_GB2312" w:hint="eastAsia"/>
          <w:color w:val="000000" w:themeColor="text1"/>
          <w:sz w:val="32"/>
          <w:szCs w:val="32"/>
        </w:rPr>
        <w:t>学生预科教育学院）、足球学院、教育</w:t>
      </w:r>
      <w:r>
        <w:rPr>
          <w:rFonts w:ascii="仿宋_GB2312" w:eastAsia="仿宋_GB2312" w:hAnsi="仿宋_GB2312" w:cs="仿宋_GB2312" w:hint="eastAsia"/>
          <w:color w:val="000000" w:themeColor="text1"/>
          <w:sz w:val="32"/>
          <w:szCs w:val="32"/>
        </w:rPr>
        <w:lastRenderedPageBreak/>
        <w:t>学院、心理学院、教师教育学院（海南省中学教师继续教育培训中心）、历史文化学院（南海区域文化研究中心）。</w:t>
      </w:r>
    </w:p>
    <w:p w:rsidR="00D4692E" w:rsidRDefault="00000000">
      <w:pPr>
        <w:spacing w:line="600" w:lineRule="exact"/>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4.下属（附属）单位6个：海南师范大学附属中学、海南师范大学附属小学、海南师范大学附属幼儿园、海南师范大学医院、海南教育期刊社、资产经营管理有限公司（职业技能培训中心）。</w:t>
      </w:r>
    </w:p>
    <w:p w:rsidR="00D4692E" w:rsidRDefault="00000000">
      <w:pPr>
        <w:pStyle w:val="af"/>
        <w:ind w:firstLine="640"/>
        <w:jc w:val="left"/>
        <w:rPr>
          <w:rFonts w:ascii="黑体" w:eastAsia="黑体" w:hAnsi="黑体" w:hint="eastAsia"/>
          <w:sz w:val="32"/>
          <w:szCs w:val="32"/>
        </w:rPr>
      </w:pPr>
      <w:r w:rsidRPr="00EF715C">
        <w:rPr>
          <w:rFonts w:ascii="黑体" w:eastAsia="黑体" w:hAnsi="黑体" w:hint="eastAsia"/>
          <w:sz w:val="32"/>
          <w:szCs w:val="32"/>
          <w:highlight w:val="yellow"/>
        </w:rPr>
        <w:t>二、部门预算单位构成</w:t>
      </w:r>
    </w:p>
    <w:p w:rsidR="00D4692E" w:rsidRDefault="00000000">
      <w:pPr>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无此类情况。</w:t>
      </w:r>
    </w:p>
    <w:p w:rsidR="00D4692E" w:rsidRDefault="00D4692E">
      <w:pPr>
        <w:ind w:firstLineChars="200" w:firstLine="640"/>
        <w:rPr>
          <w:rFonts w:ascii="仿宋_GB2312" w:eastAsia="仿宋_GB2312" w:hAnsi="仿宋_GB2312" w:cs="仿宋_GB2312"/>
          <w:color w:val="000000" w:themeColor="text1"/>
          <w:sz w:val="32"/>
          <w:szCs w:val="32"/>
        </w:rPr>
      </w:pPr>
    </w:p>
    <w:p w:rsidR="00D4692E" w:rsidRDefault="00000000">
      <w:pPr>
        <w:ind w:firstLineChars="350" w:firstLine="1124"/>
        <w:rPr>
          <w:rFonts w:ascii="黑体" w:eastAsia="黑体" w:hAnsi="黑体" w:hint="eastAsia"/>
          <w:b/>
          <w:color w:val="000000" w:themeColor="text1"/>
          <w:sz w:val="32"/>
          <w:szCs w:val="32"/>
        </w:rPr>
      </w:pPr>
      <w:r>
        <w:rPr>
          <w:rFonts w:ascii="黑体" w:eastAsia="黑体" w:hAnsi="黑体" w:hint="eastAsia"/>
          <w:b/>
          <w:color w:val="000000" w:themeColor="text1"/>
          <w:sz w:val="32"/>
          <w:szCs w:val="32"/>
        </w:rPr>
        <w:t>第二部分 海南师范大学（本级）2024年预算表</w:t>
      </w:r>
    </w:p>
    <w:p w:rsidR="00D4692E" w:rsidRDefault="00D4692E">
      <w:pPr>
        <w:jc w:val="center"/>
        <w:rPr>
          <w:rFonts w:ascii="仿宋_GB2312" w:eastAsia="仿宋_GB2312" w:hAnsi="仿宋_GB2312" w:cs="仿宋_GB2312"/>
          <w:color w:val="000000" w:themeColor="text1"/>
          <w:sz w:val="32"/>
          <w:szCs w:val="32"/>
        </w:rPr>
      </w:pPr>
    </w:p>
    <w:p w:rsidR="00D4692E" w:rsidRDefault="00000000">
      <w:pPr>
        <w:jc w:val="center"/>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b/>
          <w:color w:val="000000" w:themeColor="text1"/>
          <w:sz w:val="32"/>
          <w:szCs w:val="32"/>
        </w:rPr>
        <w:t>此部分内容即为部门或单位预算公开表</w:t>
      </w:r>
      <w:r>
        <w:rPr>
          <w:rFonts w:ascii="仿宋_GB2312" w:eastAsia="仿宋_GB2312" w:hAnsi="仿宋_GB2312" w:cs="仿宋_GB2312" w:hint="eastAsia"/>
          <w:color w:val="000000" w:themeColor="text1"/>
          <w:sz w:val="32"/>
          <w:szCs w:val="32"/>
        </w:rPr>
        <w:t>）</w:t>
      </w:r>
    </w:p>
    <w:p w:rsidR="00D4692E" w:rsidRDefault="00D4692E">
      <w:pPr>
        <w:ind w:firstLineChars="200" w:firstLine="640"/>
        <w:rPr>
          <w:rFonts w:ascii="仿宋_GB2312" w:eastAsia="仿宋_GB2312" w:hAnsi="仿宋_GB2312" w:cs="仿宋_GB2312"/>
          <w:color w:val="000000" w:themeColor="text1"/>
          <w:sz w:val="32"/>
          <w:szCs w:val="32"/>
        </w:rPr>
      </w:pPr>
    </w:p>
    <w:p w:rsidR="00D4692E" w:rsidRDefault="00000000">
      <w:pPr>
        <w:ind w:firstLineChars="200" w:firstLine="643"/>
        <w:jc w:val="center"/>
        <w:rPr>
          <w:rFonts w:ascii="黑体" w:eastAsia="黑体" w:hAnsi="黑体" w:hint="eastAsia"/>
          <w:b/>
          <w:color w:val="000000" w:themeColor="text1"/>
          <w:sz w:val="32"/>
          <w:szCs w:val="32"/>
        </w:rPr>
      </w:pPr>
      <w:r>
        <w:rPr>
          <w:rFonts w:ascii="黑体" w:eastAsia="黑体" w:hAnsi="黑体" w:hint="eastAsia"/>
          <w:b/>
          <w:color w:val="000000" w:themeColor="text1"/>
          <w:sz w:val="32"/>
          <w:szCs w:val="32"/>
        </w:rPr>
        <w:t>第三部分海南师范大学（本级）2024年预算情况说明</w:t>
      </w:r>
    </w:p>
    <w:p w:rsidR="00D4692E" w:rsidRDefault="00D4692E">
      <w:pPr>
        <w:rPr>
          <w:rFonts w:ascii="仿宋_GB2312" w:eastAsia="仿宋_GB2312" w:hAnsi="仿宋_GB2312" w:cs="仿宋_GB2312"/>
          <w:b/>
          <w:color w:val="000000" w:themeColor="text1"/>
          <w:sz w:val="32"/>
          <w:szCs w:val="32"/>
        </w:rPr>
      </w:pPr>
    </w:p>
    <w:p w:rsidR="00D4692E" w:rsidRDefault="00000000">
      <w:pPr>
        <w:spacing w:line="560" w:lineRule="exact"/>
        <w:ind w:firstLineChars="200" w:firstLine="643"/>
        <w:rPr>
          <w:rFonts w:ascii="仿宋_GB2312" w:eastAsia="仿宋_GB2312" w:hAnsi="仿宋_GB2312" w:cs="仿宋_GB2312"/>
          <w:b/>
          <w:color w:val="000000" w:themeColor="text1"/>
          <w:sz w:val="32"/>
          <w:szCs w:val="32"/>
        </w:rPr>
      </w:pPr>
      <w:r>
        <w:rPr>
          <w:rFonts w:ascii="仿宋_GB2312" w:eastAsia="仿宋_GB2312" w:hAnsi="仿宋_GB2312" w:cs="仿宋_GB2312" w:hint="eastAsia"/>
          <w:b/>
          <w:color w:val="000000" w:themeColor="text1"/>
          <w:sz w:val="32"/>
          <w:szCs w:val="32"/>
        </w:rPr>
        <w:t>一、关于海南师范大学（本级）2024年财政拨款收支预算情况的总体说明</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海南师范大学（本级）2024年财政拨款收支总预算75,642.89万元，比上年增加506.16万元，主要是一般公共服务支出增加12.20万元，教育支出减少1,713.00万元、科学技术支出增加1,066.65万元、社会保障和就业支出增加696.63万元、卫生健康支出增加205.98万元、住房保障支出增加255.83万元、其他支出减少18.13万元。其中，收入总计75,642.89万元，包括一般</w:t>
      </w:r>
      <w:r>
        <w:rPr>
          <w:rFonts w:ascii="仿宋_GB2312" w:eastAsia="仿宋_GB2312" w:hAnsi="仿宋_GB2312" w:cs="仿宋_GB2312" w:hint="eastAsia"/>
          <w:color w:val="000000" w:themeColor="text1"/>
          <w:sz w:val="32"/>
          <w:szCs w:val="32"/>
        </w:rPr>
        <w:lastRenderedPageBreak/>
        <w:t>公共预算本年收入66,190.75万元、政府性基金预算本年收入20.00万元、上年一般公共预算拨款结转9,395.74万元、上年结转政府性基金拨款结转36.40万元；支出总计75,642.89万元，包括一般公共服务支出59.00万元、教育支出63,892.56万元、科学技术支出3,854.23万元、社会保障和就业支出4,296.14万元、卫生健康支出1,307.59万元、住房保障支出2,176.97万元、其他支出56.40万元。</w:t>
      </w:r>
    </w:p>
    <w:p w:rsidR="00D4692E" w:rsidRDefault="00000000">
      <w:pPr>
        <w:spacing w:line="560" w:lineRule="exact"/>
        <w:ind w:firstLineChars="200" w:firstLine="643"/>
        <w:rPr>
          <w:rFonts w:ascii="仿宋_GB2312" w:eastAsia="仿宋_GB2312" w:hAnsi="仿宋_GB2312" w:cs="仿宋_GB2312"/>
          <w:b/>
          <w:color w:val="000000" w:themeColor="text1"/>
          <w:sz w:val="32"/>
          <w:szCs w:val="32"/>
        </w:rPr>
      </w:pPr>
      <w:r>
        <w:rPr>
          <w:rFonts w:ascii="仿宋_GB2312" w:eastAsia="仿宋_GB2312" w:hAnsi="仿宋_GB2312" w:cs="仿宋_GB2312" w:hint="eastAsia"/>
          <w:b/>
          <w:color w:val="000000" w:themeColor="text1"/>
          <w:sz w:val="32"/>
          <w:szCs w:val="32"/>
        </w:rPr>
        <w:t>二、关于海南师范大学（本级）2024年一般公共预算当年拨款情况说明</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（一）一般公共预算当年规模变化情况</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海南师范大学（本级）2024年一般公共预算当年拨款75,586.48万元，比上年预算数增加524.28万元。主要是一般公共服务支出增加12.20万元，教育支出减少1,713.00万元，科学技术支出增加1,066.65万元，社会保障和就业支出增加696.63万元，卫生健康支出增加205.98万元，住房保障支出增加255.82万元。</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（二）一般公共预算当年拨款结构情况</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般公共服务支出59.00万元，占0.08%；教育（类）支出63,892.56万元，占84.53%；科学技术（类）支出3,854.23万元，占5.10%；社会保障和就业支出4,296.13万元，占5.68%；卫生健康支出1,307.59万元，占1.73%；住房保障支出2,176.97万元，2.88%。</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（三）一般公共预算当年拨款具体使用情况</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1.一般公共服务支出（类）知识产权事务（款）其他知识产权事务支出（项）2024年预算数为59.00万元，比去年增加12.20万元，主要用于国外授权的专利和国内授权的发明专利奖励增多。</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2.教育支出（类）普通教育（款）高等教育（项）2024年预算数为63,264.36万元，比去年减少13.40万元，主要是基本支出增加2,299.25万元，项目支出减少2,312.65万元。</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3.教育支出（类）留学教育（款）来华留学教育（项）2024年预算数为628.20万元，比去年减少191.00万元 ,主要是2023年度22人未获奖学金、海南省政府奖学金生有4人未按时报到及2023年毕业人数比2022年毕业人数多33人造成2024年获批奖学金额度较2023年减少。</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4.科学技术支出（类）基础研究（款）自然科学基金（项）2024年预算数为812.24万元，比去年增加23.98万元 ，主要是获批的科技</w:t>
      </w:r>
      <w:proofErr w:type="gramStart"/>
      <w:r>
        <w:rPr>
          <w:rFonts w:ascii="仿宋_GB2312" w:eastAsia="仿宋_GB2312" w:hAnsi="仿宋_GB2312" w:cs="仿宋_GB2312" w:hint="eastAsia"/>
          <w:color w:val="000000" w:themeColor="text1"/>
          <w:sz w:val="32"/>
          <w:szCs w:val="32"/>
        </w:rPr>
        <w:t>厅项目</w:t>
      </w:r>
      <w:proofErr w:type="gramEnd"/>
      <w:r>
        <w:rPr>
          <w:rFonts w:ascii="仿宋_GB2312" w:eastAsia="仿宋_GB2312" w:hAnsi="仿宋_GB2312" w:cs="仿宋_GB2312" w:hint="eastAsia"/>
          <w:color w:val="000000" w:themeColor="text1"/>
          <w:sz w:val="32"/>
          <w:szCs w:val="32"/>
        </w:rPr>
        <w:t>较2023年有所增加。</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5.科学技术支出（类）基础研究（款）科技人才队伍建设（项）2024年预算数为289.52万元，比去年增加202.47万元，主要是科技项目获奖</w:t>
      </w:r>
      <w:proofErr w:type="gramStart"/>
      <w:r>
        <w:rPr>
          <w:rFonts w:ascii="仿宋_GB2312" w:eastAsia="仿宋_GB2312" w:hAnsi="仿宋_GB2312" w:cs="仿宋_GB2312" w:hint="eastAsia"/>
          <w:color w:val="000000" w:themeColor="text1"/>
          <w:sz w:val="32"/>
          <w:szCs w:val="32"/>
        </w:rPr>
        <w:t>奖励金较2023年</w:t>
      </w:r>
      <w:proofErr w:type="gramEnd"/>
      <w:r>
        <w:rPr>
          <w:rFonts w:ascii="仿宋_GB2312" w:eastAsia="仿宋_GB2312" w:hAnsi="仿宋_GB2312" w:cs="仿宋_GB2312" w:hint="eastAsia"/>
          <w:color w:val="000000" w:themeColor="text1"/>
          <w:sz w:val="32"/>
          <w:szCs w:val="32"/>
        </w:rPr>
        <w:t>有所增加。</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6.科学技术支出（类）应用研究（款）其他应用研究支出（项）2024年预算数为773.00万元,比去年增加773.00万元，主要是新增了2023年重点研发项目及院士创新平台科研项目获奖奖励金。</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7.科学技术支出（类）技术研究与开发（款）其他技术研究与开支出（项）2024年预算数为64.00万，比去年增加64.00万元，主要是新增了中国工程科技发展战略研究项目的配套经费。</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8.科学技术支出（类）科技条件与服务（款）科技条件专项（项）2024年预算数为298.42万元，比去年减少353.61万元。</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9.科学技术支出（类）科技条件与服务（款）其他科技条件与服务支出（项）2024年预算数为633.19万元，比去年增加633.19万元。主要是新增了重点实验室、院士团队创新中心建设经费及大型科学仪器购置费。</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10.科学技术支出（类）科学技术普及 (款)科普活动（项）2024年预算数16.00万元，比去年增加16.00万元。主要是新增了两个科普馆的获奖奖励金。</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11.科学技术支出（类）科学技术普及（款）其他科学技术普及出（项）2024年预算为1.20万元，比去年减少8.80万元。</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12.科学技术支出（类）科技重大项目（款）科技重大专项（项）2024年预算数为116.83万元，比去年减少33.49万元。</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13.科学技术支出（类）科技重大项目（款）重点研发计划（项）2024年预算数为450.72万元，比去年减少230.62万元。</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14.科学技术支出（类）其他科学技术支出（款）科技奖励（项）2024年预算数为28.00万元，比去年增加20.00万元，主要是老师获得的技术</w:t>
      </w:r>
      <w:proofErr w:type="gramStart"/>
      <w:r>
        <w:rPr>
          <w:rFonts w:ascii="仿宋_GB2312" w:eastAsia="仿宋_GB2312" w:hAnsi="仿宋_GB2312" w:cs="仿宋_GB2312" w:hint="eastAsia"/>
          <w:color w:val="000000" w:themeColor="text1"/>
          <w:sz w:val="32"/>
          <w:szCs w:val="32"/>
        </w:rPr>
        <w:t>奖励金较2023年</w:t>
      </w:r>
      <w:proofErr w:type="gramEnd"/>
      <w:r>
        <w:rPr>
          <w:rFonts w:ascii="仿宋_GB2312" w:eastAsia="仿宋_GB2312" w:hAnsi="仿宋_GB2312" w:cs="仿宋_GB2312" w:hint="eastAsia"/>
          <w:color w:val="000000" w:themeColor="text1"/>
          <w:sz w:val="32"/>
          <w:szCs w:val="32"/>
        </w:rPr>
        <w:t>有所增加。</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15.科学技术支出（类）其他科学技术支出（款）其他科学技术支出（项）2024年预算数为371.11万元，比去年减少39.47万元。</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16.社会保障和就业支出(类)行政事业单位养老支出(款)事业单位离退休(项)2024年预算数为53.37万元，比去年增加3.57</w:t>
      </w:r>
      <w:r>
        <w:rPr>
          <w:rFonts w:ascii="仿宋_GB2312" w:eastAsia="仿宋_GB2312" w:hAnsi="仿宋_GB2312" w:cs="仿宋_GB2312" w:hint="eastAsia"/>
          <w:color w:val="000000" w:themeColor="text1"/>
          <w:sz w:val="32"/>
          <w:szCs w:val="32"/>
        </w:rPr>
        <w:lastRenderedPageBreak/>
        <w:t>万元，主要是离休费标准较2023年有所增加。</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17.社会保障和就业支出(类)行政事业单位养老支出(款)机关事业单位基本养老保险缴费支出(项)2024年预算数为2,729.76万元，比去年增加387.73万元，主要是机关事业单位基本养老保险缴费基数较2023年有所增加。</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18. 社会保障和就业支出(类)行政事业单位养老支出(款)事业单位职业年金缴费支出(项)2024年预算数为1,364.88万元，比去年增加193.86万元，主要是职业年金缴费基数较2023年有所增加。</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19.社会保障和就业支出(类)抚恤(款)死亡抚恤（项）2024年预算数为97.71万元，比去年增加97.71万元，主要是核实并安排了2020年-2023年死亡抚恤金。</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20.社会保障和就业支出（类）抚恤(款)其他优抚支出（项）2024年预算数为50.41万元，比去年增加13.74万元，主要遗属生活补助标准较2023年有所增加。</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21.卫生健康支出(类)行政事业单位医疗(款)事来单位医疗(项)2024年预算数为1,307.59万元，比去年增加205.98万元，主要是职工基本医疗保险缴费基数较2023年有所增加。</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22.住房保障支出(类)住房改革支出(款)住房公积金(项)2024年预算数为2,176.97万元，比去年增加255.82万元，主要是机关事业单位住房公积金缴费基数较2023年有所增加。</w:t>
      </w:r>
    </w:p>
    <w:p w:rsidR="00D4692E" w:rsidRDefault="00000000">
      <w:pPr>
        <w:spacing w:line="560" w:lineRule="exact"/>
        <w:ind w:firstLineChars="200" w:firstLine="643"/>
        <w:rPr>
          <w:rFonts w:ascii="仿宋_GB2312" w:eastAsia="仿宋_GB2312" w:hAnsi="仿宋_GB2312" w:cs="仿宋_GB2312"/>
          <w:b/>
          <w:color w:val="000000" w:themeColor="text1"/>
          <w:sz w:val="32"/>
          <w:szCs w:val="32"/>
        </w:rPr>
      </w:pPr>
      <w:r>
        <w:rPr>
          <w:rFonts w:ascii="仿宋_GB2312" w:eastAsia="仿宋_GB2312" w:hAnsi="仿宋_GB2312" w:cs="仿宋_GB2312" w:hint="eastAsia"/>
          <w:b/>
          <w:color w:val="000000" w:themeColor="text1"/>
          <w:sz w:val="32"/>
          <w:szCs w:val="32"/>
        </w:rPr>
        <w:t>三、关于海南师范大学（本级）2024年一般公共预算基本支出情况说明</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海南师范大学2024年一般公共预算基本支出为38,097.33万元，其中：</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人员经费27,620.61万元，主要包括：基本工资、津贴补贴、绩效工资、机关事业单位基本养老保险缴费、职业年金缴费、职工基本医疗保险缴费、其他社会保障缴费、住房公积金、医疗费、其他工资福利支出、商品和服务支出（邮电费、其他交通费）、离休费、抚恤金、生活补助、奖励金、其他对个人和家庭的补助支出等。</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公用经费10,476.72万元，主要包括：其他工资福利支出、办公费、印刷费、咨询费、手续费、水费、电费、邮电费、物业管理费、差旅费、维修（护）费、租赁费、会议费、培训费、专用材料费、劳务费、委托业务费、工会经费、其他商品和服务支出、资本性支出（办公设备购置费）。</w:t>
      </w:r>
    </w:p>
    <w:p w:rsidR="00D4692E" w:rsidRDefault="00000000">
      <w:pPr>
        <w:spacing w:line="560" w:lineRule="exact"/>
        <w:ind w:firstLineChars="200" w:firstLine="643"/>
        <w:rPr>
          <w:rFonts w:ascii="仿宋_GB2312" w:eastAsia="仿宋_GB2312" w:hAnsi="仿宋_GB2312" w:cs="仿宋_GB2312"/>
          <w:b/>
          <w:color w:val="000000" w:themeColor="text1"/>
          <w:sz w:val="32"/>
          <w:szCs w:val="32"/>
        </w:rPr>
      </w:pPr>
      <w:r>
        <w:rPr>
          <w:rFonts w:ascii="仿宋_GB2312" w:eastAsia="仿宋_GB2312" w:hAnsi="仿宋_GB2312" w:cs="仿宋_GB2312" w:hint="eastAsia"/>
          <w:b/>
          <w:color w:val="000000" w:themeColor="text1"/>
          <w:sz w:val="32"/>
          <w:szCs w:val="32"/>
        </w:rPr>
        <w:t>四、海南师范大学2024年“三公”经费预算情况说明</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海南师范大学2024年“三公”经费预算数为295.00万元与去年持平。其中：</w:t>
      </w:r>
    </w:p>
    <w:p w:rsidR="00D4692E" w:rsidRDefault="00000000">
      <w:pPr>
        <w:spacing w:line="600" w:lineRule="exact"/>
        <w:ind w:firstLine="63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1.因公出国（境）经费100.00万元，与上年预算持平。</w:t>
      </w:r>
      <w:r>
        <w:rPr>
          <w:rFonts w:ascii="仿宋_GB2312" w:eastAsia="仿宋_GB2312" w:hAnsi="仿宋_GB2312" w:cs="仿宋_GB2312" w:hint="eastAsia"/>
          <w:color w:val="000000" w:themeColor="text1"/>
          <w:sz w:val="32"/>
          <w:szCs w:val="32"/>
          <w:shd w:val="clear" w:color="auto" w:fill="FFFFFF"/>
        </w:rPr>
        <w:t>我校将在严格遵守国家及省委、省政府的要求的前提下，继续做好国际交流活动计划安排，加强因公出国（境）团组的申报和审批，对因公出国（境）的人员、出访计划、资金支出预算安排等方面从严控制。海南师范大学安排的2024年出国计划，拟安排出国（境）团（组）7次，出国（境）29人。单</w:t>
      </w:r>
      <w:proofErr w:type="gramStart"/>
      <w:r>
        <w:rPr>
          <w:rFonts w:ascii="仿宋_GB2312" w:eastAsia="仿宋_GB2312" w:hAnsi="仿宋_GB2312" w:cs="仿宋_GB2312" w:hint="eastAsia"/>
          <w:color w:val="000000" w:themeColor="text1"/>
          <w:sz w:val="32"/>
          <w:szCs w:val="32"/>
          <w:shd w:val="clear" w:color="auto" w:fill="FFFFFF"/>
        </w:rPr>
        <w:t>位拟</w:t>
      </w:r>
      <w:proofErr w:type="gramEnd"/>
      <w:r>
        <w:rPr>
          <w:rFonts w:ascii="仿宋_GB2312" w:eastAsia="仿宋_GB2312" w:hAnsi="仿宋_GB2312" w:cs="仿宋_GB2312" w:hint="eastAsia"/>
          <w:color w:val="000000" w:themeColor="text1"/>
          <w:sz w:val="32"/>
          <w:szCs w:val="32"/>
          <w:shd w:val="clear" w:color="auto" w:fill="FFFFFF"/>
        </w:rPr>
        <w:t>实</w:t>
      </w:r>
      <w:r>
        <w:rPr>
          <w:rFonts w:ascii="仿宋_GB2312" w:eastAsia="仿宋_GB2312" w:hAnsi="仿宋_GB2312" w:cs="仿宋_GB2312" w:hint="eastAsia"/>
          <w:color w:val="000000" w:themeColor="text1"/>
          <w:sz w:val="32"/>
          <w:szCs w:val="32"/>
        </w:rPr>
        <w:t>施的因公出国（境）</w:t>
      </w:r>
      <w:r>
        <w:rPr>
          <w:rFonts w:ascii="仿宋_GB2312" w:eastAsia="仿宋_GB2312" w:hAnsi="仿宋_GB2312" w:cs="仿宋_GB2312" w:hint="eastAsia"/>
          <w:color w:val="000000" w:themeColor="text1"/>
          <w:sz w:val="32"/>
          <w:szCs w:val="32"/>
        </w:rPr>
        <w:lastRenderedPageBreak/>
        <w:t>计划如下：</w:t>
      </w:r>
    </w:p>
    <w:p w:rsidR="00D4692E" w:rsidRDefault="00000000">
      <w:pPr>
        <w:spacing w:line="600" w:lineRule="exact"/>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（1）海南师范大学赴马来西亚、缅甸、老挝洽谈国际中文教育</w:t>
      </w:r>
      <w:proofErr w:type="gramStart"/>
      <w:r>
        <w:rPr>
          <w:rFonts w:ascii="仿宋_GB2312" w:eastAsia="仿宋_GB2312" w:hAnsi="仿宋_GB2312" w:cs="仿宋_GB2312" w:hint="eastAsia"/>
          <w:color w:val="000000" w:themeColor="text1"/>
          <w:sz w:val="32"/>
          <w:szCs w:val="32"/>
        </w:rPr>
        <w:t>本硕博联合</w:t>
      </w:r>
      <w:proofErr w:type="gramEnd"/>
      <w:r>
        <w:rPr>
          <w:rFonts w:ascii="仿宋_GB2312" w:eastAsia="仿宋_GB2312" w:hAnsi="仿宋_GB2312" w:cs="仿宋_GB2312" w:hint="eastAsia"/>
          <w:color w:val="000000" w:themeColor="text1"/>
          <w:sz w:val="32"/>
          <w:szCs w:val="32"/>
        </w:rPr>
        <w:t>培养及华文教育基地建设访问团（地点：马来西亚吉隆坡、新山，缅甸仰光、老挝万象；人数：5人；时间10天；事由：国际中文教育</w:t>
      </w:r>
      <w:proofErr w:type="gramStart"/>
      <w:r>
        <w:rPr>
          <w:rFonts w:ascii="仿宋_GB2312" w:eastAsia="仿宋_GB2312" w:hAnsi="仿宋_GB2312" w:cs="仿宋_GB2312" w:hint="eastAsia"/>
          <w:color w:val="000000" w:themeColor="text1"/>
          <w:sz w:val="32"/>
          <w:szCs w:val="32"/>
        </w:rPr>
        <w:t>本硕博联合</w:t>
      </w:r>
      <w:proofErr w:type="gramEnd"/>
      <w:r>
        <w:rPr>
          <w:rFonts w:ascii="仿宋_GB2312" w:eastAsia="仿宋_GB2312" w:hAnsi="仿宋_GB2312" w:cs="仿宋_GB2312" w:hint="eastAsia"/>
          <w:color w:val="000000" w:themeColor="text1"/>
          <w:sz w:val="32"/>
          <w:szCs w:val="32"/>
        </w:rPr>
        <w:t>培养及华文教育基地建设访问团）。</w:t>
      </w:r>
    </w:p>
    <w:p w:rsidR="00D4692E" w:rsidRDefault="00000000">
      <w:pPr>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（2）海南师范大学赴英国哈德斯菲尔德大学、西苏格兰大学访问团（地点：英国伦敦、哈德斯菲尔德市；人数：5人；天数：5天；事由：洽谈中外合作办学项目）。  </w:t>
      </w:r>
    </w:p>
    <w:p w:rsidR="00D4692E" w:rsidRDefault="00000000">
      <w:pPr>
        <w:ind w:firstLineChars="200" w:firstLine="640"/>
        <w:jc w:val="left"/>
        <w:rPr>
          <w:rFonts w:ascii="仿宋_GB2312" w:eastAsia="仿宋_GB2312" w:hAnsi="仿宋_GB2312" w:cs="仿宋_GB2312"/>
          <w:color w:val="000000" w:themeColor="text1"/>
          <w:sz w:val="32"/>
          <w:szCs w:val="32"/>
          <w:highlight w:val="yellow"/>
        </w:rPr>
      </w:pPr>
      <w:r>
        <w:rPr>
          <w:rFonts w:ascii="仿宋_GB2312" w:eastAsia="仿宋_GB2312" w:hAnsi="仿宋_GB2312" w:cs="仿宋_GB2312" w:hint="eastAsia"/>
          <w:color w:val="000000" w:themeColor="text1"/>
          <w:sz w:val="32"/>
          <w:szCs w:val="32"/>
        </w:rPr>
        <w:t>（3）海南师范大学赴荷兰、德国、瑞士关于国际人才工作站设立访问团（地点：荷兰鹿特丹、德国海德堡、瑞士伯尔尼；人数：5人；天数：10天；事由：建立海南师范大学国际人才站）。</w:t>
      </w:r>
    </w:p>
    <w:p w:rsidR="00D4692E" w:rsidRDefault="00000000">
      <w:pPr>
        <w:spacing w:line="600" w:lineRule="exact"/>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（4）海南师范大学赴印尼、泰国、澳大利亚访问团（地点：泰国曼谷、印尼雅加达、澳大利亚悉尼、堪培拉；人数：4人；天数：10天；事由：参加AACSB国际认证、洽谈合作办学项目、参加泰国校友会成立大会）。 </w:t>
      </w:r>
    </w:p>
    <w:p w:rsidR="00D4692E" w:rsidRDefault="00000000">
      <w:pPr>
        <w:spacing w:line="600" w:lineRule="exact"/>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（5）海南师范大学赴美国徳保罗大学、</w:t>
      </w:r>
      <w:proofErr w:type="gramStart"/>
      <w:r>
        <w:rPr>
          <w:rFonts w:ascii="仿宋_GB2312" w:eastAsia="仿宋_GB2312" w:hAnsi="仿宋_GB2312" w:cs="仿宋_GB2312" w:hint="eastAsia"/>
          <w:color w:val="000000" w:themeColor="text1"/>
          <w:sz w:val="32"/>
          <w:szCs w:val="32"/>
        </w:rPr>
        <w:t>凯</w:t>
      </w:r>
      <w:proofErr w:type="gramEnd"/>
      <w:r>
        <w:rPr>
          <w:rFonts w:ascii="仿宋_GB2312" w:eastAsia="仿宋_GB2312" w:hAnsi="仿宋_GB2312" w:cs="仿宋_GB2312" w:hint="eastAsia"/>
          <w:color w:val="000000" w:themeColor="text1"/>
          <w:sz w:val="32"/>
          <w:szCs w:val="32"/>
        </w:rPr>
        <w:t>泽大学访问团（地点：美国芝加哥、佛罗里达；人数：5人；天数：5天；事由：洽谈中外合作办学课程优化方案和体育专业高尔夫方向中外合作办学项目）。</w:t>
      </w:r>
    </w:p>
    <w:p w:rsidR="00D4692E" w:rsidRDefault="00000000">
      <w:pPr>
        <w:spacing w:line="600" w:lineRule="exact"/>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（6）海南师范大学赴英国参加名校暑期学术课程（地点：英</w:t>
      </w:r>
      <w:r>
        <w:rPr>
          <w:rFonts w:ascii="仿宋_GB2312" w:eastAsia="仿宋_GB2312" w:hAnsi="仿宋_GB2312" w:cs="仿宋_GB2312" w:hint="eastAsia"/>
          <w:color w:val="000000" w:themeColor="text1"/>
          <w:sz w:val="32"/>
          <w:szCs w:val="32"/>
        </w:rPr>
        <w:lastRenderedPageBreak/>
        <w:t>国伦敦；人数：1人；天数：20天；事由：带队学生团队参加英国名校暑期学术课程）。</w:t>
      </w:r>
    </w:p>
    <w:p w:rsidR="00D4692E" w:rsidRDefault="00000000">
      <w:pPr>
        <w:spacing w:line="600" w:lineRule="exact"/>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（7） 海南师范大学赴新西兰奥克兰大学、</w:t>
      </w:r>
      <w:proofErr w:type="gramStart"/>
      <w:r>
        <w:rPr>
          <w:rFonts w:ascii="仿宋_GB2312" w:eastAsia="仿宋_GB2312" w:hAnsi="仿宋_GB2312" w:cs="仿宋_GB2312" w:hint="eastAsia"/>
          <w:color w:val="000000" w:themeColor="text1"/>
          <w:sz w:val="32"/>
          <w:szCs w:val="32"/>
        </w:rPr>
        <w:t>怀卡托大</w:t>
      </w:r>
      <w:proofErr w:type="gramEnd"/>
      <w:r>
        <w:rPr>
          <w:rFonts w:ascii="仿宋_GB2312" w:eastAsia="仿宋_GB2312" w:hAnsi="仿宋_GB2312" w:cs="仿宋_GB2312" w:hint="eastAsia"/>
          <w:color w:val="000000" w:themeColor="text1"/>
          <w:sz w:val="32"/>
          <w:szCs w:val="32"/>
        </w:rPr>
        <w:t>学访问团（地点：新西兰奥克兰、怀卡托；人数：4人；天数：5天；事由：洽谈特殊教育、民族教育合作项目)。</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2.公务用车购置及运行费95.00万元（其中，公务用车购置费0万元，公务用车运行费95.00万元），与上年预算持平。公务用车保有存量9辆。</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3.公务接待费是100.00万元，与上年预算持平。2024年我校计划接待50批500人。</w:t>
      </w:r>
    </w:p>
    <w:p w:rsidR="00D4692E" w:rsidRDefault="00000000">
      <w:pPr>
        <w:spacing w:line="560" w:lineRule="exact"/>
        <w:ind w:firstLineChars="200" w:firstLine="643"/>
        <w:rPr>
          <w:rFonts w:ascii="仿宋_GB2312" w:eastAsia="仿宋_GB2312" w:hAnsi="仿宋_GB2312" w:cs="仿宋_GB2312"/>
          <w:b/>
          <w:color w:val="000000" w:themeColor="text1"/>
          <w:sz w:val="32"/>
          <w:szCs w:val="32"/>
        </w:rPr>
      </w:pPr>
      <w:r>
        <w:rPr>
          <w:rFonts w:ascii="仿宋_GB2312" w:eastAsia="仿宋_GB2312" w:hAnsi="仿宋_GB2312" w:cs="仿宋_GB2312" w:hint="eastAsia"/>
          <w:b/>
          <w:color w:val="000000" w:themeColor="text1"/>
          <w:sz w:val="32"/>
          <w:szCs w:val="32"/>
        </w:rPr>
        <w:t>五、大学（本级）2024年政府性基金预算当年拨款情况说明</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（一）政府性基金预算当年规模变化情况</w:t>
      </w:r>
    </w:p>
    <w:p w:rsidR="00D4692E" w:rsidRDefault="00000000">
      <w:pPr>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海南师范大学2024年政府性基金预算当年拨款（含上年结转）56.40万元，比上年预算数减少18.13万元，主要是该项目经海南省教育厅综合评估后获</w:t>
      </w:r>
      <w:proofErr w:type="gramStart"/>
      <w:r>
        <w:rPr>
          <w:rFonts w:ascii="仿宋_GB2312" w:eastAsia="仿宋_GB2312" w:hAnsi="仿宋_GB2312" w:cs="仿宋_GB2312" w:hint="eastAsia"/>
          <w:color w:val="000000" w:themeColor="text1"/>
          <w:sz w:val="32"/>
          <w:szCs w:val="32"/>
        </w:rPr>
        <w:t>批资金</w:t>
      </w:r>
      <w:proofErr w:type="gramEnd"/>
      <w:r>
        <w:rPr>
          <w:rFonts w:ascii="仿宋_GB2312" w:eastAsia="仿宋_GB2312" w:hAnsi="仿宋_GB2312" w:cs="仿宋_GB2312" w:hint="eastAsia"/>
          <w:color w:val="000000" w:themeColor="text1"/>
          <w:sz w:val="32"/>
          <w:szCs w:val="32"/>
        </w:rPr>
        <w:t>较2023年有所减少。</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（二）政府性基金预算当年拨款结构情况</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其他支出（类）2024年预算数（含上年结转）为56.40万元，占100%。</w:t>
      </w:r>
    </w:p>
    <w:p w:rsidR="00D4692E" w:rsidRDefault="00000000">
      <w:pPr>
        <w:ind w:firstLineChars="250" w:firstLine="80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（三）政府性基金当年拨款具体使用情况</w:t>
      </w:r>
    </w:p>
    <w:p w:rsidR="00D4692E" w:rsidRDefault="00000000">
      <w:pPr>
        <w:ind w:firstLineChars="250" w:firstLine="80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其他支出（类）彩票公益金安排的支出（款）用于教育事业的彩票公益金支出（项）2024年预算数（含上年结转）为56.40万元，比上年预算减少18.13万元；主要是用于教育实践基地建</w:t>
      </w:r>
      <w:r>
        <w:rPr>
          <w:rFonts w:ascii="仿宋_GB2312" w:eastAsia="仿宋_GB2312" w:hAnsi="仿宋_GB2312" w:cs="仿宋_GB2312" w:hint="eastAsia"/>
          <w:color w:val="000000" w:themeColor="text1"/>
          <w:sz w:val="32"/>
          <w:szCs w:val="32"/>
        </w:rPr>
        <w:lastRenderedPageBreak/>
        <w:t>设，开展省内高校大学生创新创业训练，创新创业项目筛选、培育孵化落地等工作。</w:t>
      </w:r>
    </w:p>
    <w:p w:rsidR="00D4692E" w:rsidRDefault="00000000">
      <w:pPr>
        <w:spacing w:line="560" w:lineRule="exact"/>
        <w:ind w:firstLineChars="200" w:firstLine="643"/>
        <w:rPr>
          <w:rFonts w:ascii="仿宋_GB2312" w:eastAsia="仿宋_GB2312" w:hAnsi="仿宋_GB2312" w:cs="仿宋_GB2312"/>
          <w:b/>
          <w:color w:val="000000" w:themeColor="text1"/>
          <w:sz w:val="32"/>
          <w:szCs w:val="32"/>
        </w:rPr>
      </w:pPr>
      <w:r>
        <w:rPr>
          <w:rFonts w:ascii="仿宋_GB2312" w:eastAsia="仿宋_GB2312" w:hAnsi="仿宋_GB2312" w:cs="仿宋_GB2312" w:hint="eastAsia"/>
          <w:b/>
          <w:color w:val="000000" w:themeColor="text1"/>
          <w:sz w:val="32"/>
          <w:szCs w:val="32"/>
        </w:rPr>
        <w:t>六、关于海南师范大学2024年收支预算情况的总体说明</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按照综合预算原则，海南师范大学所有收入和支出均纳入部门预算管理。收入包括：一般公共预算收入、政府性基金预算拨款收入、财政专户管理资金收入、事业收入、上年结转；支出包括：教育支出、科学技术支出、文化旅游体育与传媒支出、社会保障和就业支出、卫生健康支出、住房保障支出及其他支出。</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海南师范大学（本级）2024年收入总预算124,304.89万元。</w:t>
      </w:r>
    </w:p>
    <w:p w:rsidR="00D4692E" w:rsidRDefault="00000000">
      <w:pPr>
        <w:spacing w:line="560" w:lineRule="exact"/>
        <w:ind w:firstLineChars="200" w:firstLine="643"/>
        <w:rPr>
          <w:rFonts w:ascii="仿宋_GB2312" w:eastAsia="仿宋_GB2312" w:hAnsi="仿宋_GB2312" w:cs="仿宋_GB2312"/>
          <w:b/>
          <w:color w:val="000000" w:themeColor="text1"/>
          <w:sz w:val="32"/>
          <w:szCs w:val="32"/>
        </w:rPr>
      </w:pPr>
      <w:r>
        <w:rPr>
          <w:rFonts w:ascii="仿宋_GB2312" w:eastAsia="仿宋_GB2312" w:hAnsi="仿宋_GB2312" w:cs="仿宋_GB2312" w:hint="eastAsia"/>
          <w:b/>
          <w:color w:val="000000" w:themeColor="text1"/>
          <w:sz w:val="32"/>
          <w:szCs w:val="32"/>
        </w:rPr>
        <w:t>七、关于海南师范大学（本级）2024年收入预算情况说明</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海南师范大学（本级）2024年收入预算124,304.89万元，其中：一般公共预算拨款收入66,190.75万元，占53.25%；政府性基金预算拨款收入20.00万元，占0.02%；财政专户管理资金收入23,322万元占18.76%；事业收入17,340.00万元，占13.95% ，上年结转17,432.14万元，占14.02%。</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2024年收入预算比上年增加3,300.93万元，主要是2024年一般公共预算比上年减少6,937.94万元；政府性基金预算比上年减少15.00万元；财政专户比上年增加2,712.50万元；事业收入与上年持平；上年结转数比2023年上年结转数增加7,541.37万元。</w:t>
      </w:r>
    </w:p>
    <w:p w:rsidR="00D4692E" w:rsidRDefault="00000000">
      <w:pPr>
        <w:spacing w:line="560" w:lineRule="exact"/>
        <w:ind w:firstLineChars="200" w:firstLine="643"/>
        <w:rPr>
          <w:rFonts w:ascii="仿宋_GB2312" w:eastAsia="仿宋_GB2312" w:hAnsi="仿宋_GB2312" w:cs="仿宋_GB2312"/>
          <w:b/>
          <w:color w:val="000000" w:themeColor="text1"/>
          <w:sz w:val="32"/>
          <w:szCs w:val="32"/>
        </w:rPr>
      </w:pPr>
      <w:r>
        <w:rPr>
          <w:rFonts w:ascii="仿宋_GB2312" w:eastAsia="仿宋_GB2312" w:hAnsi="仿宋_GB2312" w:cs="仿宋_GB2312" w:hint="eastAsia"/>
          <w:b/>
          <w:color w:val="000000" w:themeColor="text1"/>
          <w:sz w:val="32"/>
          <w:szCs w:val="32"/>
        </w:rPr>
        <w:t>八、关于海南师范大学（本级）2024年支出预算情况说明</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海南师范大学（本级）2024年支出预算124,304.89万元，其中：基本支出68,022.33万元，占54.72%；项目支出56,282.56</w:t>
      </w:r>
      <w:r>
        <w:rPr>
          <w:rFonts w:ascii="仿宋_GB2312" w:eastAsia="仿宋_GB2312" w:hAnsi="仿宋_GB2312" w:cs="仿宋_GB2312" w:hint="eastAsia"/>
          <w:color w:val="000000" w:themeColor="text1"/>
          <w:sz w:val="32"/>
          <w:szCs w:val="32"/>
        </w:rPr>
        <w:lastRenderedPageBreak/>
        <w:t>万元，占45.28%。比上年预算数增加3,300.93万元，主要是教育支出、科学技术支出、社会保障和就业支出、卫生健康支出、住房保障支出等方面较2023年均有增长。</w:t>
      </w:r>
    </w:p>
    <w:p w:rsidR="00D4692E" w:rsidRDefault="00000000">
      <w:pPr>
        <w:spacing w:line="560" w:lineRule="exact"/>
        <w:ind w:firstLineChars="200" w:firstLine="643"/>
        <w:rPr>
          <w:rFonts w:ascii="仿宋_GB2312" w:eastAsia="仿宋_GB2312" w:hAnsi="仿宋_GB2312" w:cs="仿宋_GB2312"/>
          <w:b/>
          <w:color w:val="000000" w:themeColor="text1"/>
          <w:sz w:val="32"/>
          <w:szCs w:val="32"/>
        </w:rPr>
      </w:pPr>
      <w:r>
        <w:rPr>
          <w:rFonts w:ascii="仿宋_GB2312" w:eastAsia="仿宋_GB2312" w:hAnsi="仿宋_GB2312" w:cs="仿宋_GB2312" w:hint="eastAsia"/>
          <w:b/>
          <w:color w:val="000000" w:themeColor="text1"/>
          <w:sz w:val="32"/>
          <w:szCs w:val="32"/>
        </w:rPr>
        <w:t>九、其他重要事项的情况说明</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（一）机关运行经费</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2024年海南师范大学（本级）</w:t>
      </w:r>
      <w:proofErr w:type="gramStart"/>
      <w:r>
        <w:rPr>
          <w:rFonts w:ascii="仿宋_GB2312" w:eastAsia="仿宋_GB2312" w:hAnsi="仿宋_GB2312" w:cs="仿宋_GB2312" w:hint="eastAsia"/>
          <w:color w:val="000000" w:themeColor="text1"/>
          <w:sz w:val="32"/>
          <w:szCs w:val="32"/>
        </w:rPr>
        <w:t>无机关</w:t>
      </w:r>
      <w:proofErr w:type="gramEnd"/>
      <w:r>
        <w:rPr>
          <w:rFonts w:ascii="仿宋_GB2312" w:eastAsia="仿宋_GB2312" w:hAnsi="仿宋_GB2312" w:cs="仿宋_GB2312" w:hint="eastAsia"/>
          <w:color w:val="000000" w:themeColor="text1"/>
          <w:sz w:val="32"/>
          <w:szCs w:val="32"/>
        </w:rPr>
        <w:t>运行经费。</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（二）政府采购情况</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2024年海南师范大学（本级）政府采购预算总额5,168.85万元，其中：政府采购货物预算4,968.85万元,采购服务预算200.00万元。</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（三）国有资产占有使用情况</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截至2023年12月31日，海南师范大学本级共有车辆9辆，其中，其他用车 8辆、特种专业技术用车1辆。单位价值100.00万元以上设备18台（套）。</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（四）绩效目标设置情况</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2024年海南师范大学（本级）有45个项目实行绩效目标管理，涉及一般公共预算收入66,190.75万元、政府性基金预算收入20.00万元、财政专户管理资金收入23,322.00万元、事业收入17,340.00万元、上年结转8,000万元。</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其中，重点项目预算绩效情况：</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1.海南师范大学学生事务补助项目，预算安排1,927.00万元。主要用于为在校本科生按月发放副食品补贴，为师范生发放师范院校奖学金，为勤工助学学生发放勤工助学补助。绩效目标是:</w:t>
      </w:r>
    </w:p>
    <w:p w:rsidR="00D4692E" w:rsidRDefault="00000000">
      <w:pPr>
        <w:spacing w:line="560" w:lineRule="exact"/>
        <w:ind w:firstLineChars="100" w:firstLine="32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（1）根据在校生人数，按月足额发放副食品补贴；根据在校师范生人数，按月足额发放师范生奖学金；根据适合学生个人提出申请，由学校设定勤工助学岗位予以安排，并按月结算劳动报酬。</w:t>
      </w:r>
    </w:p>
    <w:p w:rsidR="00D4692E" w:rsidRDefault="00000000">
      <w:pPr>
        <w:spacing w:line="560" w:lineRule="exact"/>
        <w:ind w:firstLineChars="100" w:firstLine="32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（2）选派500名优秀师范生顶替我省中西部市县乡镇中学250名教师的岗位，完成两个月的顶岗实习工作：开展专业实习、见习，师范专业学生实践技能大幅度提高，从教情意明显增强。</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海南师范大学人才引进与培养项目，预算安排1,100.00万元。主要用于搭建聚才平台，提升服务水平，加强师资队伍建设，优化师资队伍梯队的打造，畅通人才发展渠道，营造人才终身学习的良好环境，使我校的人才梯队更加合理。绩效目标是：</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（1）引进学术带头人3名。</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（2）引进博士、副教授以上高层次人才23名。</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3.海南师范大学学生资助补助项目（高校），预算安排5,185.26万元，主要用于高中阶段和高等教育学生资助（省级资金及中央资金）、来琼留学生省政府奖学金。绩效目标是：</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（1）确保国家资助政策实施，评审时间内公平公正组织评选，确保按时、足额发放。</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资助海南省各高校面向我省部分友好省市、城市，以及一带一路沿线国家等目标国招收国际学生，促进我省与各友好省市以及一带一路沿线国家等招收目标国之间的文化及教育交流，以推进海南自由贸易港建设及一带一路发展战略进程。</w:t>
      </w:r>
    </w:p>
    <w:p w:rsidR="00D4692E" w:rsidRDefault="00000000">
      <w:pPr>
        <w:widowControl/>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4.海南师范大学高等学校发展资金项目，预算安排2,414.40万元。主要用于：大学生创新创业计划、高校教育教学改革项目、</w:t>
      </w:r>
      <w:r>
        <w:rPr>
          <w:rFonts w:ascii="仿宋_GB2312" w:eastAsia="仿宋_GB2312" w:hAnsi="仿宋_GB2312" w:cs="仿宋_GB2312" w:hint="eastAsia"/>
          <w:color w:val="000000" w:themeColor="text1"/>
          <w:sz w:val="32"/>
          <w:szCs w:val="32"/>
        </w:rPr>
        <w:lastRenderedPageBreak/>
        <w:t>高校科研项目资助、2024年教学创新比赛、</w:t>
      </w:r>
      <w:proofErr w:type="gramStart"/>
      <w:r>
        <w:rPr>
          <w:rFonts w:ascii="仿宋_GB2312" w:eastAsia="仿宋_GB2312" w:hAnsi="仿宋_GB2312" w:cs="仿宋_GB2312" w:hint="eastAsia"/>
          <w:color w:val="000000" w:themeColor="text1"/>
          <w:sz w:val="32"/>
          <w:szCs w:val="32"/>
        </w:rPr>
        <w:t>龙昆南校区</w:t>
      </w:r>
      <w:proofErr w:type="gramEnd"/>
      <w:r>
        <w:rPr>
          <w:rFonts w:ascii="仿宋_GB2312" w:eastAsia="仿宋_GB2312" w:hAnsi="仿宋_GB2312" w:cs="仿宋_GB2312" w:hint="eastAsia"/>
          <w:color w:val="000000" w:themeColor="text1"/>
          <w:sz w:val="32"/>
          <w:szCs w:val="32"/>
        </w:rPr>
        <w:t>、桂林洋校区水电基础设施改造项目。绩效目标是：</w:t>
      </w:r>
    </w:p>
    <w:p w:rsidR="00D4692E" w:rsidRDefault="00000000">
      <w:pPr>
        <w:widowControl/>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1）高校科研提升项目：2024年建设省级教育教学改革研究项目不少于38项、立项资助12个研究生教育教学改革目标，其中重点项目3个（每个3万元），一般项目9个（每个1.5万元）。自然科学类立项资助9个自然科学类高等学校科学研究项目，其中重点项目2个（每个3万元），一般项目7个（每个1.5万元）。 </w:t>
      </w:r>
    </w:p>
    <w:p w:rsidR="00D4692E" w:rsidRDefault="00000000">
      <w:pPr>
        <w:widowControl/>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（2）高校教育教学改革项目：建设一批省级一流本科课程，为冲击国家级一流本科课程打下基础,力争2024建成省级精品开放课程4门以上；第四届“高校教师教学创新大赛”、第十三届“青年教师教学大赛 ”活动顺利组织、圆满完成。</w:t>
      </w:r>
    </w:p>
    <w:p w:rsidR="00D4692E" w:rsidRDefault="00000000">
      <w:pPr>
        <w:widowControl/>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（3）大学生创新创业计划：资助100项研究生创新科研课题和113项国家级省级创新创业项目（84.50万），遴选优秀项目参加各种创新创业大赛。</w:t>
      </w:r>
    </w:p>
    <w:p w:rsidR="00D4692E" w:rsidRDefault="00000000">
      <w:pPr>
        <w:widowControl/>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（4）校园基础设施建设：根据财政资金和双方合同约定，按时支付工程款。</w:t>
      </w:r>
    </w:p>
    <w:p w:rsidR="00D4692E" w:rsidRDefault="00000000">
      <w:pPr>
        <w:widowControl/>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（5）举办全省教学创新比赛。</w:t>
      </w:r>
    </w:p>
    <w:p w:rsidR="00D4692E" w:rsidRDefault="00000000">
      <w:pPr>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5.海南师范大学教师队伍建设资金项目，预算安排2,358.18万元。主要用于：海南省乡村小学教师定向培养计划、海南省“乡村强师工程”项目（基层教育人才</w:t>
      </w:r>
      <w:proofErr w:type="gramStart"/>
      <w:r>
        <w:rPr>
          <w:rFonts w:ascii="仿宋_GB2312" w:eastAsia="仿宋_GB2312" w:hAnsi="仿宋_GB2312" w:cs="仿宋_GB2312" w:hint="eastAsia"/>
          <w:color w:val="000000" w:themeColor="text1"/>
          <w:sz w:val="32"/>
          <w:szCs w:val="32"/>
        </w:rPr>
        <w:t>激励引育专项</w:t>
      </w:r>
      <w:proofErr w:type="gramEnd"/>
      <w:r>
        <w:rPr>
          <w:rFonts w:ascii="仿宋_GB2312" w:eastAsia="仿宋_GB2312" w:hAnsi="仿宋_GB2312" w:cs="仿宋_GB2312" w:hint="eastAsia"/>
          <w:color w:val="000000" w:themeColor="text1"/>
          <w:sz w:val="32"/>
          <w:szCs w:val="32"/>
        </w:rPr>
        <w:t>计划项目）、“双五百”人才工程项目、海南省乡镇骨干教师培训、海南省好校长</w:t>
      </w:r>
      <w:r>
        <w:rPr>
          <w:rFonts w:ascii="仿宋_GB2312" w:eastAsia="仿宋_GB2312" w:hAnsi="仿宋_GB2312" w:cs="仿宋_GB2312" w:hint="eastAsia"/>
          <w:color w:val="000000" w:themeColor="text1"/>
          <w:sz w:val="32"/>
          <w:szCs w:val="32"/>
        </w:rPr>
        <w:lastRenderedPageBreak/>
        <w:t>好教师培养工程、乡镇小学骨干教师学科专业能力提升培训。绩效目标是:</w:t>
      </w:r>
    </w:p>
    <w:p w:rsidR="00D4692E" w:rsidRDefault="00000000">
      <w:pPr>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双五百”人才工程：采取U-G-S（大学—政府—中小学）协同机制，实现教师职前培养与职后培训一体化，强调理论学习与实践体验相结合，体现“学”、“思”、“悟”、“行”合一，分阶段开展“诊、引、</w:t>
      </w:r>
      <w:proofErr w:type="gramStart"/>
      <w:r>
        <w:rPr>
          <w:rFonts w:ascii="仿宋_GB2312" w:eastAsia="仿宋_GB2312" w:hAnsi="仿宋_GB2312" w:cs="仿宋_GB2312" w:hint="eastAsia"/>
          <w:color w:val="000000" w:themeColor="text1"/>
          <w:sz w:val="32"/>
          <w:szCs w:val="32"/>
        </w:rPr>
        <w:t>研</w:t>
      </w:r>
      <w:proofErr w:type="gramEnd"/>
      <w:r>
        <w:rPr>
          <w:rFonts w:ascii="仿宋_GB2312" w:eastAsia="仿宋_GB2312" w:hAnsi="仿宋_GB2312" w:cs="仿宋_GB2312" w:hint="eastAsia"/>
          <w:color w:val="000000" w:themeColor="text1"/>
          <w:sz w:val="32"/>
          <w:szCs w:val="32"/>
        </w:rPr>
        <w:t>、导、修”一体混合式培训，即在岗带徒反思、问题诊断与理论研修、</w:t>
      </w:r>
      <w:proofErr w:type="gramStart"/>
      <w:r>
        <w:rPr>
          <w:rFonts w:ascii="仿宋_GB2312" w:eastAsia="仿宋_GB2312" w:hAnsi="仿宋_GB2312" w:cs="仿宋_GB2312" w:hint="eastAsia"/>
          <w:color w:val="000000" w:themeColor="text1"/>
          <w:sz w:val="32"/>
          <w:szCs w:val="32"/>
        </w:rPr>
        <w:t>跟岗体验</w:t>
      </w:r>
      <w:proofErr w:type="gramEnd"/>
      <w:r>
        <w:rPr>
          <w:rFonts w:ascii="仿宋_GB2312" w:eastAsia="仿宋_GB2312" w:hAnsi="仿宋_GB2312" w:cs="仿宋_GB2312" w:hint="eastAsia"/>
          <w:color w:val="000000" w:themeColor="text1"/>
          <w:sz w:val="32"/>
          <w:szCs w:val="32"/>
        </w:rPr>
        <w:t>、校本研修与跟踪指导等进阶式培训，促进乡镇教师对于课堂教学的理解和把握，全面提升教师的课堂教学能力。</w:t>
      </w:r>
    </w:p>
    <w:p w:rsidR="00D4692E" w:rsidRDefault="00000000">
      <w:pPr>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（2）海南省乡村小学教师定向培养计划：海南省乡村教师定向公培生（含地方优师）计划学生报到率和毕业率均超过85%。</w:t>
      </w:r>
    </w:p>
    <w:p w:rsidR="00D4692E" w:rsidRDefault="00000000">
      <w:pPr>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（3）海南省“乡村强师工程”项目：采取高校集中强化培训( 15 天，安排培训任务) +省内外</w:t>
      </w:r>
      <w:proofErr w:type="gramStart"/>
      <w:r>
        <w:rPr>
          <w:rFonts w:ascii="仿宋_GB2312" w:eastAsia="仿宋_GB2312" w:hAnsi="仿宋_GB2312" w:cs="仿宋_GB2312" w:hint="eastAsia"/>
          <w:color w:val="000000" w:themeColor="text1"/>
          <w:sz w:val="32"/>
          <w:szCs w:val="32"/>
        </w:rPr>
        <w:t>名校跟岗学习</w:t>
      </w:r>
      <w:proofErr w:type="gramEnd"/>
      <w:r>
        <w:rPr>
          <w:rFonts w:ascii="仿宋_GB2312" w:eastAsia="仿宋_GB2312" w:hAnsi="仿宋_GB2312" w:cs="仿宋_GB2312" w:hint="eastAsia"/>
          <w:color w:val="000000" w:themeColor="text1"/>
          <w:sz w:val="32"/>
          <w:szCs w:val="32"/>
        </w:rPr>
        <w:t>(省内</w:t>
      </w:r>
      <w:proofErr w:type="gramStart"/>
      <w:r>
        <w:rPr>
          <w:rFonts w:ascii="仿宋_GB2312" w:eastAsia="仿宋_GB2312" w:hAnsi="仿宋_GB2312" w:cs="仿宋_GB2312" w:hint="eastAsia"/>
          <w:color w:val="000000" w:themeColor="text1"/>
          <w:sz w:val="32"/>
          <w:szCs w:val="32"/>
        </w:rPr>
        <w:t>优质学校</w:t>
      </w:r>
      <w:proofErr w:type="gramEnd"/>
      <w:r>
        <w:rPr>
          <w:rFonts w:ascii="仿宋_GB2312" w:eastAsia="仿宋_GB2312" w:hAnsi="仿宋_GB2312" w:cs="仿宋_GB2312" w:hint="eastAsia"/>
          <w:color w:val="000000" w:themeColor="text1"/>
          <w:sz w:val="32"/>
          <w:szCs w:val="32"/>
        </w:rPr>
        <w:t>10个月+高校理论学习15 天+省外</w:t>
      </w:r>
      <w:proofErr w:type="gramStart"/>
      <w:r>
        <w:rPr>
          <w:rFonts w:ascii="仿宋_GB2312" w:eastAsia="仿宋_GB2312" w:hAnsi="仿宋_GB2312" w:cs="仿宋_GB2312" w:hint="eastAsia"/>
          <w:color w:val="000000" w:themeColor="text1"/>
          <w:sz w:val="32"/>
          <w:szCs w:val="32"/>
        </w:rPr>
        <w:t>优质学校</w:t>
      </w:r>
      <w:proofErr w:type="gramEnd"/>
      <w:r>
        <w:rPr>
          <w:rFonts w:ascii="仿宋_GB2312" w:eastAsia="仿宋_GB2312" w:hAnsi="仿宋_GB2312" w:cs="仿宋_GB2312" w:hint="eastAsia"/>
          <w:color w:val="000000" w:themeColor="text1"/>
          <w:sz w:val="32"/>
          <w:szCs w:val="32"/>
        </w:rPr>
        <w:t>1个月)+总结考核展示(2天) +返岗实践(2年，在实践和反思中完成培训任务) +驻校指导(1周，中期检查+终期考核)，着力提升参训人员的常规教学管理力、学科课程领导力、校本教研指导力、课堂教学改革力、区域团队建设力，推动其迅速成长为乡村教学名师。</w:t>
      </w:r>
    </w:p>
    <w:p w:rsidR="00D4692E" w:rsidRDefault="00000000">
      <w:pPr>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（4）海南省乡镇骨干教师培训：海南省乡镇小学音乐、美术骨干教师教学能力提升培训项目主要一是了解小学科学教育课程目标和前沿发展动态，开拓学科视野，更新教育教学理念。二是</w:t>
      </w:r>
      <w:r>
        <w:rPr>
          <w:rFonts w:ascii="仿宋_GB2312" w:eastAsia="仿宋_GB2312" w:hAnsi="仿宋_GB2312" w:cs="仿宋_GB2312" w:hint="eastAsia"/>
          <w:color w:val="000000" w:themeColor="text1"/>
          <w:sz w:val="32"/>
          <w:szCs w:val="32"/>
        </w:rPr>
        <w:lastRenderedPageBreak/>
        <w:t>深刻理解小学科学课程标准的理念、内涵，提升教材分析能力和教学设计能力，并能在课堂教学中进行很好地展示。三是能够设计和组织科学课堂探究活动和课外科学实践活动，充分激发学生对</w:t>
      </w:r>
      <w:proofErr w:type="gramStart"/>
      <w:r>
        <w:rPr>
          <w:rFonts w:ascii="仿宋_GB2312" w:eastAsia="仿宋_GB2312" w:hAnsi="仿宋_GB2312" w:cs="仿宋_GB2312" w:hint="eastAsia"/>
          <w:color w:val="000000" w:themeColor="text1"/>
          <w:sz w:val="32"/>
          <w:szCs w:val="32"/>
        </w:rPr>
        <w:t>科学学习</w:t>
      </w:r>
      <w:proofErr w:type="gramEnd"/>
      <w:r>
        <w:rPr>
          <w:rFonts w:ascii="仿宋_GB2312" w:eastAsia="仿宋_GB2312" w:hAnsi="仿宋_GB2312" w:cs="仿宋_GB2312" w:hint="eastAsia"/>
          <w:color w:val="000000" w:themeColor="text1"/>
          <w:sz w:val="32"/>
          <w:szCs w:val="32"/>
        </w:rPr>
        <w:t>的兴趣，培养学生的科学思维。</w:t>
      </w:r>
    </w:p>
    <w:p w:rsidR="00D4692E" w:rsidRDefault="00000000">
      <w:pPr>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海南省好校长好教师培养工程：充分依托我校学科优势、师资优势和服务优势，分层分类开展教师教育创新计划、好校长全员培训示范性项目、好校长全员培训示范性项目、卓越校长领航项目、好教师人人行动计划、卓越教师成长计划等18个子项目，目坚持骨干培养与引领辐射相结合，打造一流好校长、好教师培训品牌项目，逐步提升我省骨干校长教师的国际素养，提升未来教育精英能力素质，为自由贸易港建设贡献卓越人才力量。</w:t>
      </w:r>
    </w:p>
    <w:p w:rsidR="00D4692E" w:rsidRDefault="00000000">
      <w:pPr>
        <w:spacing w:line="560" w:lineRule="exact"/>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6.海南师范大学支持地方高校改革发展项目，预算安排7,402.00万元。绩效目标是：</w:t>
      </w:r>
    </w:p>
    <w:p w:rsidR="00D4692E" w:rsidRDefault="00000000">
      <w:pPr>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（1）公办本科高校生均拨款水平不低于12,000.00元的水平。</w:t>
      </w:r>
    </w:p>
    <w:p w:rsidR="00D4692E" w:rsidRDefault="00000000">
      <w:pPr>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（2）推动公办本科高等院校双一流学校建设，学科建设达到一流学科建设目标，学科科研实验条件明显改善，人才培养能力和科学研究水平明显提升。研究生培养规模得到进一步扩大。</w:t>
      </w:r>
    </w:p>
    <w:p w:rsidR="00D4692E" w:rsidRDefault="00000000">
      <w:pPr>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（3）支持的学科数量超过9个；支持的教学实验室数量超过9个。</w:t>
      </w:r>
    </w:p>
    <w:p w:rsidR="00D4692E" w:rsidRDefault="00000000">
      <w:pPr>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（4）支持的科研基地和实训中心数量超过4个。</w:t>
      </w:r>
    </w:p>
    <w:p w:rsidR="00D4692E" w:rsidRDefault="00000000">
      <w:pPr>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（5）支持创新团队数量6个。</w:t>
      </w:r>
    </w:p>
    <w:p w:rsidR="00D4692E" w:rsidRDefault="00000000">
      <w:pPr>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 xml:space="preserve">（6）完成支持地方高校改革发展资金确定的项目。                                         </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7.海南师范大学桂林校区二期学生公寓（18#-22#）及配套三期学生食堂基本项目，预算安排2,000.00万元。主要用于学生公寓建筑面积77,000平方米，学生食堂建筑面积4,500平方米，地下室（含人防）建筑面积7,000平方米。建设内容包含土建工程，安装工程，道路硬化、绿化、消防、照明等室外配套工程，购置设备等。绩效目标是完成二期学生公寓及三期食堂建筑面积88,500平方米；建设工程数量2个；项目收益人数6,550人；收益群体满意度90%。该项目已于2024年1月份完成了主体工程竣工验收，预计2024年第一季度投入使用。</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8.海南师范大学桂林洋校区综合足球场及室内训练馆项目，预算安排2,000.00万元。该项目主要分两部分建设，第一部分用地面积为69,990.96平方米，建设9座足球场地，其中1座11</w:t>
      </w:r>
      <w:proofErr w:type="gramStart"/>
      <w:r>
        <w:rPr>
          <w:rFonts w:ascii="仿宋_GB2312" w:eastAsia="仿宋_GB2312" w:hAnsi="仿宋_GB2312" w:cs="仿宋_GB2312" w:hint="eastAsia"/>
          <w:color w:val="000000" w:themeColor="text1"/>
          <w:sz w:val="32"/>
          <w:szCs w:val="32"/>
        </w:rPr>
        <w:t>人制</w:t>
      </w:r>
      <w:proofErr w:type="gramEnd"/>
      <w:r>
        <w:rPr>
          <w:rFonts w:ascii="仿宋_GB2312" w:eastAsia="仿宋_GB2312" w:hAnsi="仿宋_GB2312" w:cs="仿宋_GB2312" w:hint="eastAsia"/>
          <w:color w:val="000000" w:themeColor="text1"/>
          <w:sz w:val="32"/>
          <w:szCs w:val="32"/>
        </w:rPr>
        <w:t>丙级足球比赛足球场地，1座11</w:t>
      </w:r>
      <w:proofErr w:type="gramStart"/>
      <w:r>
        <w:rPr>
          <w:rFonts w:ascii="仿宋_GB2312" w:eastAsia="仿宋_GB2312" w:hAnsi="仿宋_GB2312" w:cs="仿宋_GB2312" w:hint="eastAsia"/>
          <w:color w:val="000000" w:themeColor="text1"/>
          <w:sz w:val="32"/>
          <w:szCs w:val="32"/>
        </w:rPr>
        <w:t>人制</w:t>
      </w:r>
      <w:proofErr w:type="gramEnd"/>
      <w:r>
        <w:rPr>
          <w:rFonts w:ascii="仿宋_GB2312" w:eastAsia="仿宋_GB2312" w:hAnsi="仿宋_GB2312" w:cs="仿宋_GB2312" w:hint="eastAsia"/>
          <w:color w:val="000000" w:themeColor="text1"/>
          <w:sz w:val="32"/>
          <w:szCs w:val="32"/>
        </w:rPr>
        <w:t>、4座5</w:t>
      </w:r>
      <w:proofErr w:type="gramStart"/>
      <w:r>
        <w:rPr>
          <w:rFonts w:ascii="仿宋_GB2312" w:eastAsia="仿宋_GB2312" w:hAnsi="仿宋_GB2312" w:cs="仿宋_GB2312" w:hint="eastAsia"/>
          <w:color w:val="000000" w:themeColor="text1"/>
          <w:sz w:val="32"/>
          <w:szCs w:val="32"/>
        </w:rPr>
        <w:t>人制</w:t>
      </w:r>
      <w:proofErr w:type="gramEnd"/>
      <w:r>
        <w:rPr>
          <w:rFonts w:ascii="仿宋_GB2312" w:eastAsia="仿宋_GB2312" w:hAnsi="仿宋_GB2312" w:cs="仿宋_GB2312" w:hint="eastAsia"/>
          <w:color w:val="000000" w:themeColor="text1"/>
          <w:sz w:val="32"/>
          <w:szCs w:val="32"/>
        </w:rPr>
        <w:t>、2座7</w:t>
      </w:r>
      <w:proofErr w:type="gramStart"/>
      <w:r>
        <w:rPr>
          <w:rFonts w:ascii="仿宋_GB2312" w:eastAsia="仿宋_GB2312" w:hAnsi="仿宋_GB2312" w:cs="仿宋_GB2312" w:hint="eastAsia"/>
          <w:color w:val="000000" w:themeColor="text1"/>
          <w:sz w:val="32"/>
          <w:szCs w:val="32"/>
        </w:rPr>
        <w:t>人制</w:t>
      </w:r>
      <w:proofErr w:type="gramEnd"/>
      <w:r>
        <w:rPr>
          <w:rFonts w:ascii="仿宋_GB2312" w:eastAsia="仿宋_GB2312" w:hAnsi="仿宋_GB2312" w:cs="仿宋_GB2312" w:hint="eastAsia"/>
          <w:color w:val="000000" w:themeColor="text1"/>
          <w:sz w:val="32"/>
          <w:szCs w:val="32"/>
        </w:rPr>
        <w:t>足球专业训练场地，1座沙滩足球专业训练场地，看台及附属用房建筑面积1,500平方米，同时配套建设2处遮阳膜、绿化、道路及硬化场地、给排水及电力系统等。第二部分建设1栋室内训练馆，用地面积为7,997.20平方米，建筑面积为8,199.83平方米。绩效目标是：目前初步设计及概算已</w:t>
      </w:r>
      <w:proofErr w:type="gramStart"/>
      <w:r>
        <w:rPr>
          <w:rFonts w:ascii="仿宋_GB2312" w:eastAsia="仿宋_GB2312" w:hAnsi="仿宋_GB2312" w:cs="仿宋_GB2312" w:hint="eastAsia"/>
          <w:color w:val="000000" w:themeColor="text1"/>
          <w:sz w:val="32"/>
          <w:szCs w:val="32"/>
        </w:rPr>
        <w:t>报发改委</w:t>
      </w:r>
      <w:proofErr w:type="gramEnd"/>
      <w:r>
        <w:rPr>
          <w:rFonts w:ascii="仿宋_GB2312" w:eastAsia="仿宋_GB2312" w:hAnsi="仿宋_GB2312" w:cs="仿宋_GB2312" w:hint="eastAsia"/>
          <w:color w:val="000000" w:themeColor="text1"/>
          <w:sz w:val="32"/>
          <w:szCs w:val="32"/>
        </w:rPr>
        <w:t>，正在走审批流程；预计2024年5月份完成全部前期申报工作。计划2024年6月份开工；预计2025年3月份竣工。</w:t>
      </w:r>
    </w:p>
    <w:p w:rsidR="00D4692E" w:rsidRDefault="00000000">
      <w:pPr>
        <w:pStyle w:val="a3"/>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9.海南师范大学教育合作与交流项目财政专户管理资金安排1,000.00万元，主要用于合作办学项目支付给合作方的教学管理</w:t>
      </w:r>
      <w:r>
        <w:rPr>
          <w:rFonts w:ascii="仿宋_GB2312" w:eastAsia="仿宋_GB2312" w:hAnsi="仿宋_GB2312" w:cs="仿宋_GB2312" w:hint="eastAsia"/>
          <w:color w:val="000000" w:themeColor="text1"/>
          <w:sz w:val="32"/>
          <w:szCs w:val="32"/>
        </w:rPr>
        <w:lastRenderedPageBreak/>
        <w:t>费。绩效目标是：</w:t>
      </w:r>
    </w:p>
    <w:p w:rsidR="00D4692E" w:rsidRDefault="00000000">
      <w:pPr>
        <w:pStyle w:val="a3"/>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（1）巩固加强4个合作办学点，分别是中美合作办学、中</w:t>
      </w:r>
      <w:proofErr w:type="gramStart"/>
      <w:r>
        <w:rPr>
          <w:rFonts w:ascii="仿宋_GB2312" w:eastAsia="仿宋_GB2312" w:hAnsi="仿宋_GB2312" w:cs="仿宋_GB2312" w:hint="eastAsia"/>
          <w:color w:val="000000" w:themeColor="text1"/>
          <w:sz w:val="32"/>
          <w:szCs w:val="32"/>
        </w:rPr>
        <w:t>印合作</w:t>
      </w:r>
      <w:proofErr w:type="gramEnd"/>
      <w:r>
        <w:rPr>
          <w:rFonts w:ascii="仿宋_GB2312" w:eastAsia="仿宋_GB2312" w:hAnsi="仿宋_GB2312" w:cs="仿宋_GB2312" w:hint="eastAsia"/>
          <w:color w:val="000000" w:themeColor="text1"/>
          <w:sz w:val="32"/>
          <w:szCs w:val="32"/>
        </w:rPr>
        <w:t>办学、中俄合作办学和中意合作办学。</w:t>
      </w:r>
    </w:p>
    <w:p w:rsidR="00D4692E" w:rsidRDefault="00000000">
      <w:pPr>
        <w:pStyle w:val="a3"/>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（2）按时支付4项外方管理费。</w:t>
      </w:r>
    </w:p>
    <w:p w:rsidR="00D4692E" w:rsidRDefault="00000000">
      <w:pPr>
        <w:pStyle w:val="a3"/>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（3）提高合作办学水平。</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10.海南师范大学教育教学与科研经费项目，单位资金17,340.00万元。主要用于代管项目、科研项目、往来款等。绩效目标是：</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（1）确保学校1月-12月实有账户资金正常支付。</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（2）确保学校实有账户3类项目资金正常支付。</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（3）提高学校资金支付效率。</w:t>
      </w:r>
    </w:p>
    <w:p w:rsidR="00D4692E" w:rsidRDefault="00000000">
      <w:pPr>
        <w:spacing w:line="560" w:lineRule="exact"/>
        <w:jc w:val="center"/>
        <w:rPr>
          <w:rFonts w:ascii="黑体" w:eastAsia="黑体" w:hAnsi="黑体" w:hint="eastAsia"/>
          <w:b/>
          <w:color w:val="000000" w:themeColor="text1"/>
          <w:sz w:val="32"/>
          <w:szCs w:val="32"/>
        </w:rPr>
      </w:pPr>
      <w:r>
        <w:rPr>
          <w:rFonts w:ascii="黑体" w:eastAsia="黑体" w:hAnsi="黑体" w:hint="eastAsia"/>
          <w:b/>
          <w:color w:val="000000" w:themeColor="text1"/>
          <w:sz w:val="32"/>
          <w:szCs w:val="32"/>
        </w:rPr>
        <w:t>第四部分  名词解释</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一、财政拨款收入：指本级财政当年拨付的资金。</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二、一般公共预算拨款收入：指用于反映税收收入、专项收入、行政事业性收费收入、罚没收入、国有资源（资产）有偿使用收入、政府住房基金收入、捐赠收入等财政收入。</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三、政府性基金预算拨款收入：指是用于反映政府为支持某项事业发展或特定基础设施建设，依法依规向公民、法人和其他组织征收的以及出让土地、发行彩票等方式取得的具有专门用途的资金</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四、事业收入：指用于反映事业单位开展专业业务活动及辅助活动所取得的收入。 </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五、事业单位经营收入：指用于反映事业单位在专业活动及辅助活动之外开展非独立核算经营活动取得的收入。</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六、其他收入：指除上述“财政拨款收入”“事业收入”“经营收入”等以外的收入。</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七、上年结转：指以前年度尚未完成、结转到本年按有关规定继续使用的资金。</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八、基本支出：指行政事业单位用于为保障其机构正常运转、完成日常工作任务而发生的人员支出和公用支出。</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九、工资福利支出：反映单位开支的在职职工和编制</w:t>
      </w:r>
      <w:proofErr w:type="gramStart"/>
      <w:r>
        <w:rPr>
          <w:rFonts w:ascii="仿宋_GB2312" w:eastAsia="仿宋_GB2312" w:hAnsi="仿宋_GB2312" w:cs="仿宋_GB2312" w:hint="eastAsia"/>
          <w:color w:val="000000" w:themeColor="text1"/>
          <w:sz w:val="32"/>
          <w:szCs w:val="32"/>
        </w:rPr>
        <w:t>外长期</w:t>
      </w:r>
      <w:proofErr w:type="gramEnd"/>
      <w:r>
        <w:rPr>
          <w:rFonts w:ascii="仿宋_GB2312" w:eastAsia="仿宋_GB2312" w:hAnsi="仿宋_GB2312" w:cs="仿宋_GB2312" w:hint="eastAsia"/>
          <w:color w:val="000000" w:themeColor="text1"/>
          <w:sz w:val="32"/>
          <w:szCs w:val="32"/>
        </w:rPr>
        <w:t>聘用人员的各类劳动报酬，以及为上述人员缴纳的各项社会保险费等。</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十、对个人和家庭的补助支出：反映政府用于对个人和家庭的补助支出，包括离休费、退休费、退职（役）费、抚恤金、生活补助、救济费、医疗费补助、助学金、独生子女奖励金、其他等。</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十二、项目支出：指各部门、各单位为完成其特定的工作任务和事业发展目标所发生的支出。</w:t>
      </w:r>
    </w:p>
    <w:p w:rsidR="00D4692E" w:rsidRDefault="0000000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十三、“三公”经费：包括因公出国（境）费、公务用车购置及运行费和公务接待费。其中，因公出国（境）费指单位公务</w:t>
      </w:r>
      <w:r>
        <w:rPr>
          <w:rFonts w:ascii="仿宋_GB2312" w:eastAsia="仿宋_GB2312" w:hAnsi="仿宋_GB2312" w:cs="仿宋_GB2312" w:hint="eastAsia"/>
          <w:color w:val="000000" w:themeColor="text1"/>
          <w:sz w:val="32"/>
          <w:szCs w:val="32"/>
        </w:rPr>
        <w:lastRenderedPageBreak/>
        <w:t>出国（境）的国际旅费、国外城市间交通费、住宿费、伙食费、培训费、公杂费等支出；公务用车购置及运行费指单位公务用车车辆购置支出（</w:t>
      </w:r>
      <w:proofErr w:type="gramStart"/>
      <w:r>
        <w:rPr>
          <w:rFonts w:ascii="仿宋_GB2312" w:eastAsia="仿宋_GB2312" w:hAnsi="仿宋_GB2312" w:cs="仿宋_GB2312" w:hint="eastAsia"/>
          <w:color w:val="000000" w:themeColor="text1"/>
          <w:sz w:val="32"/>
          <w:szCs w:val="32"/>
        </w:rPr>
        <w:t>含车辆</w:t>
      </w:r>
      <w:proofErr w:type="gramEnd"/>
      <w:r>
        <w:rPr>
          <w:rFonts w:ascii="仿宋_GB2312" w:eastAsia="仿宋_GB2312" w:hAnsi="仿宋_GB2312" w:cs="仿宋_GB2312" w:hint="eastAsia"/>
          <w:color w:val="000000" w:themeColor="text1"/>
          <w:sz w:val="32"/>
          <w:szCs w:val="32"/>
        </w:rPr>
        <w:t>购置税）及燃料费、维修费、过路过桥费、保险费、安全奖励费用等支出；公务接待费指单位按规定开支的各类公务接待（含外宾接待）支出。</w:t>
      </w:r>
    </w:p>
    <w:p w:rsidR="00D4692E" w:rsidRDefault="00000000">
      <w:pPr>
        <w:spacing w:line="560" w:lineRule="exact"/>
        <w:ind w:firstLineChars="200" w:firstLine="64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sz w:val="32"/>
          <w:szCs w:val="32"/>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D4692E" w:rsidRDefault="00D4692E">
      <w:pPr>
        <w:spacing w:line="560" w:lineRule="exact"/>
        <w:ind w:firstLineChars="200" w:firstLine="640"/>
        <w:rPr>
          <w:rFonts w:ascii="仿宋_GB2312" w:eastAsia="仿宋_GB2312" w:hAnsi="仿宋_GB2312" w:cs="仿宋_GB2312"/>
          <w:color w:val="000000" w:themeColor="text1"/>
          <w:sz w:val="32"/>
          <w:szCs w:val="32"/>
        </w:rPr>
      </w:pPr>
    </w:p>
    <w:p w:rsidR="00D4692E" w:rsidRDefault="00D4692E">
      <w:pPr>
        <w:ind w:firstLineChars="200" w:firstLine="640"/>
        <w:jc w:val="left"/>
        <w:rPr>
          <w:rFonts w:ascii="仿宋_GB2312" w:eastAsia="仿宋_GB2312" w:hAnsi="仿宋_GB2312" w:cs="仿宋_GB2312"/>
          <w:color w:val="000000" w:themeColor="text1"/>
          <w:sz w:val="32"/>
          <w:szCs w:val="32"/>
        </w:rPr>
      </w:pPr>
    </w:p>
    <w:p w:rsidR="00D4692E" w:rsidRDefault="00D4692E">
      <w:pPr>
        <w:ind w:firstLineChars="200" w:firstLine="640"/>
        <w:jc w:val="left"/>
        <w:rPr>
          <w:rFonts w:ascii="仿宋_GB2312" w:eastAsia="仿宋_GB2312" w:hAnsi="仿宋_GB2312" w:cs="仿宋_GB2312"/>
          <w:color w:val="000000" w:themeColor="text1"/>
          <w:sz w:val="32"/>
          <w:szCs w:val="32"/>
        </w:rPr>
      </w:pPr>
    </w:p>
    <w:sectPr w:rsidR="00D4692E">
      <w:pgSz w:w="11906" w:h="16838"/>
      <w:pgMar w:top="1985" w:right="1418" w:bottom="1701" w:left="1418"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203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7387090">
    <w:abstractNumId w:val="0"/>
  </w:num>
  <w:num w:numId="2" w16cid:durableId="329730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HorizontalSpacing w:val="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4520"/>
    <w:rsid w:val="ABBF3834"/>
    <w:rsid w:val="D97F626E"/>
    <w:rsid w:val="FC6FBB23"/>
    <w:rsid w:val="FF5F5C3D"/>
    <w:rsid w:val="FF7C1A10"/>
    <w:rsid w:val="00001E1B"/>
    <w:rsid w:val="000079F2"/>
    <w:rsid w:val="00012A02"/>
    <w:rsid w:val="00023449"/>
    <w:rsid w:val="0002676F"/>
    <w:rsid w:val="00046137"/>
    <w:rsid w:val="00072C98"/>
    <w:rsid w:val="00077631"/>
    <w:rsid w:val="00092F7A"/>
    <w:rsid w:val="000A5E23"/>
    <w:rsid w:val="000B38CC"/>
    <w:rsid w:val="000C2574"/>
    <w:rsid w:val="000C6654"/>
    <w:rsid w:val="000D11FD"/>
    <w:rsid w:val="000D655B"/>
    <w:rsid w:val="000E771A"/>
    <w:rsid w:val="000F118D"/>
    <w:rsid w:val="000F458E"/>
    <w:rsid w:val="000F7A58"/>
    <w:rsid w:val="00122AD8"/>
    <w:rsid w:val="00125CEC"/>
    <w:rsid w:val="001414CD"/>
    <w:rsid w:val="00144922"/>
    <w:rsid w:val="00150A27"/>
    <w:rsid w:val="00154058"/>
    <w:rsid w:val="001729E5"/>
    <w:rsid w:val="00176E42"/>
    <w:rsid w:val="00193866"/>
    <w:rsid w:val="001967BF"/>
    <w:rsid w:val="001A069A"/>
    <w:rsid w:val="001A3025"/>
    <w:rsid w:val="001A4C19"/>
    <w:rsid w:val="001A72F3"/>
    <w:rsid w:val="001C4610"/>
    <w:rsid w:val="001C6B35"/>
    <w:rsid w:val="001F7821"/>
    <w:rsid w:val="00203832"/>
    <w:rsid w:val="00207904"/>
    <w:rsid w:val="00211E95"/>
    <w:rsid w:val="00213695"/>
    <w:rsid w:val="00217E50"/>
    <w:rsid w:val="0024465C"/>
    <w:rsid w:val="0024489B"/>
    <w:rsid w:val="00244B0C"/>
    <w:rsid w:val="00245982"/>
    <w:rsid w:val="00254281"/>
    <w:rsid w:val="00256062"/>
    <w:rsid w:val="002613DD"/>
    <w:rsid w:val="00266552"/>
    <w:rsid w:val="002768B3"/>
    <w:rsid w:val="00280582"/>
    <w:rsid w:val="00284E8C"/>
    <w:rsid w:val="0029744D"/>
    <w:rsid w:val="0029766B"/>
    <w:rsid w:val="002A67CC"/>
    <w:rsid w:val="002C00F7"/>
    <w:rsid w:val="002C1510"/>
    <w:rsid w:val="002C3FC1"/>
    <w:rsid w:val="002C5C48"/>
    <w:rsid w:val="002C6270"/>
    <w:rsid w:val="002D13A1"/>
    <w:rsid w:val="002D649C"/>
    <w:rsid w:val="002E4AAF"/>
    <w:rsid w:val="002E5B17"/>
    <w:rsid w:val="002F1F26"/>
    <w:rsid w:val="002F6B89"/>
    <w:rsid w:val="002F6BFF"/>
    <w:rsid w:val="003219D8"/>
    <w:rsid w:val="00322B21"/>
    <w:rsid w:val="00341407"/>
    <w:rsid w:val="003455F4"/>
    <w:rsid w:val="003558E2"/>
    <w:rsid w:val="003605B5"/>
    <w:rsid w:val="003617E3"/>
    <w:rsid w:val="00363529"/>
    <w:rsid w:val="00366B1C"/>
    <w:rsid w:val="00372A37"/>
    <w:rsid w:val="00376B55"/>
    <w:rsid w:val="00397CEF"/>
    <w:rsid w:val="003A13C9"/>
    <w:rsid w:val="003A6C27"/>
    <w:rsid w:val="003B2496"/>
    <w:rsid w:val="003B3CED"/>
    <w:rsid w:val="003C5D22"/>
    <w:rsid w:val="003D1924"/>
    <w:rsid w:val="003D4058"/>
    <w:rsid w:val="003E4DE5"/>
    <w:rsid w:val="003E683E"/>
    <w:rsid w:val="003F57EC"/>
    <w:rsid w:val="003F7A53"/>
    <w:rsid w:val="003F7F5C"/>
    <w:rsid w:val="00400A1A"/>
    <w:rsid w:val="00404692"/>
    <w:rsid w:val="004250BB"/>
    <w:rsid w:val="00441D9F"/>
    <w:rsid w:val="00444F33"/>
    <w:rsid w:val="0044579D"/>
    <w:rsid w:val="0046172C"/>
    <w:rsid w:val="004632F9"/>
    <w:rsid w:val="00470033"/>
    <w:rsid w:val="00480255"/>
    <w:rsid w:val="004920CA"/>
    <w:rsid w:val="004A6121"/>
    <w:rsid w:val="004A6563"/>
    <w:rsid w:val="004E5603"/>
    <w:rsid w:val="0051419F"/>
    <w:rsid w:val="005152A4"/>
    <w:rsid w:val="0052213D"/>
    <w:rsid w:val="00522DF9"/>
    <w:rsid w:val="00527EB4"/>
    <w:rsid w:val="00535354"/>
    <w:rsid w:val="005450CB"/>
    <w:rsid w:val="005548FD"/>
    <w:rsid w:val="00557E85"/>
    <w:rsid w:val="00564762"/>
    <w:rsid w:val="00572925"/>
    <w:rsid w:val="00573972"/>
    <w:rsid w:val="0057446E"/>
    <w:rsid w:val="00576CE7"/>
    <w:rsid w:val="00576D08"/>
    <w:rsid w:val="0057745F"/>
    <w:rsid w:val="00581F18"/>
    <w:rsid w:val="00587859"/>
    <w:rsid w:val="005A0589"/>
    <w:rsid w:val="005A09D4"/>
    <w:rsid w:val="005B6B10"/>
    <w:rsid w:val="005D04A2"/>
    <w:rsid w:val="005D2ED9"/>
    <w:rsid w:val="005E1822"/>
    <w:rsid w:val="005E1FB3"/>
    <w:rsid w:val="005E3D54"/>
    <w:rsid w:val="005E77D2"/>
    <w:rsid w:val="005F1487"/>
    <w:rsid w:val="00610F53"/>
    <w:rsid w:val="00612962"/>
    <w:rsid w:val="00623BD3"/>
    <w:rsid w:val="00627E8F"/>
    <w:rsid w:val="006335E4"/>
    <w:rsid w:val="00640D79"/>
    <w:rsid w:val="006436D5"/>
    <w:rsid w:val="00646C33"/>
    <w:rsid w:val="006471E5"/>
    <w:rsid w:val="00652DED"/>
    <w:rsid w:val="006555D6"/>
    <w:rsid w:val="00655DF4"/>
    <w:rsid w:val="00660D35"/>
    <w:rsid w:val="00663AA6"/>
    <w:rsid w:val="0066505D"/>
    <w:rsid w:val="00666C48"/>
    <w:rsid w:val="00674585"/>
    <w:rsid w:val="006939AA"/>
    <w:rsid w:val="006949BF"/>
    <w:rsid w:val="006974F9"/>
    <w:rsid w:val="006A2060"/>
    <w:rsid w:val="006A58B0"/>
    <w:rsid w:val="006B2E7C"/>
    <w:rsid w:val="006B4202"/>
    <w:rsid w:val="006C3F9E"/>
    <w:rsid w:val="006F4520"/>
    <w:rsid w:val="00700287"/>
    <w:rsid w:val="00704C5D"/>
    <w:rsid w:val="007058B9"/>
    <w:rsid w:val="00705C53"/>
    <w:rsid w:val="0071128D"/>
    <w:rsid w:val="00720119"/>
    <w:rsid w:val="00726165"/>
    <w:rsid w:val="00741854"/>
    <w:rsid w:val="007502AB"/>
    <w:rsid w:val="00755CC0"/>
    <w:rsid w:val="00756732"/>
    <w:rsid w:val="00766FFC"/>
    <w:rsid w:val="00784948"/>
    <w:rsid w:val="00786BC7"/>
    <w:rsid w:val="00796700"/>
    <w:rsid w:val="007B6D12"/>
    <w:rsid w:val="007C4A61"/>
    <w:rsid w:val="007D716A"/>
    <w:rsid w:val="007E2E24"/>
    <w:rsid w:val="007E38D7"/>
    <w:rsid w:val="007E763D"/>
    <w:rsid w:val="008068A0"/>
    <w:rsid w:val="00816E50"/>
    <w:rsid w:val="0082138E"/>
    <w:rsid w:val="00827348"/>
    <w:rsid w:val="0086127F"/>
    <w:rsid w:val="0086524D"/>
    <w:rsid w:val="00874D69"/>
    <w:rsid w:val="00880E09"/>
    <w:rsid w:val="0088602B"/>
    <w:rsid w:val="008A6786"/>
    <w:rsid w:val="008B5B86"/>
    <w:rsid w:val="008D0A41"/>
    <w:rsid w:val="008D3436"/>
    <w:rsid w:val="008E49EE"/>
    <w:rsid w:val="008E7CA0"/>
    <w:rsid w:val="009356B5"/>
    <w:rsid w:val="0095259E"/>
    <w:rsid w:val="00955356"/>
    <w:rsid w:val="009608C3"/>
    <w:rsid w:val="00972454"/>
    <w:rsid w:val="00977332"/>
    <w:rsid w:val="009852D4"/>
    <w:rsid w:val="0098752B"/>
    <w:rsid w:val="00994BAD"/>
    <w:rsid w:val="009A01FE"/>
    <w:rsid w:val="009B0985"/>
    <w:rsid w:val="009B4279"/>
    <w:rsid w:val="009B4493"/>
    <w:rsid w:val="009C193C"/>
    <w:rsid w:val="009C7075"/>
    <w:rsid w:val="009D0B2E"/>
    <w:rsid w:val="009E0672"/>
    <w:rsid w:val="009E4D50"/>
    <w:rsid w:val="009E657D"/>
    <w:rsid w:val="00A03E9A"/>
    <w:rsid w:val="00A06F97"/>
    <w:rsid w:val="00A07CAE"/>
    <w:rsid w:val="00A109DA"/>
    <w:rsid w:val="00A36861"/>
    <w:rsid w:val="00A44297"/>
    <w:rsid w:val="00A55D08"/>
    <w:rsid w:val="00A6302F"/>
    <w:rsid w:val="00A65087"/>
    <w:rsid w:val="00A655E6"/>
    <w:rsid w:val="00A945B9"/>
    <w:rsid w:val="00AA3117"/>
    <w:rsid w:val="00AB6C9E"/>
    <w:rsid w:val="00AC1D0E"/>
    <w:rsid w:val="00AC6300"/>
    <w:rsid w:val="00AC730E"/>
    <w:rsid w:val="00AC75ED"/>
    <w:rsid w:val="00AD317A"/>
    <w:rsid w:val="00AD5173"/>
    <w:rsid w:val="00AD6DF0"/>
    <w:rsid w:val="00AF07E3"/>
    <w:rsid w:val="00AF34C2"/>
    <w:rsid w:val="00AF7EA4"/>
    <w:rsid w:val="00B018A3"/>
    <w:rsid w:val="00B14504"/>
    <w:rsid w:val="00B278B2"/>
    <w:rsid w:val="00B52477"/>
    <w:rsid w:val="00B549C7"/>
    <w:rsid w:val="00B6604F"/>
    <w:rsid w:val="00B87E4F"/>
    <w:rsid w:val="00B903D3"/>
    <w:rsid w:val="00B963E8"/>
    <w:rsid w:val="00BA0E55"/>
    <w:rsid w:val="00BB2966"/>
    <w:rsid w:val="00BB2ECD"/>
    <w:rsid w:val="00BC3CE6"/>
    <w:rsid w:val="00BD6C43"/>
    <w:rsid w:val="00BE0F41"/>
    <w:rsid w:val="00BF783A"/>
    <w:rsid w:val="00C04C66"/>
    <w:rsid w:val="00C3099A"/>
    <w:rsid w:val="00C337A5"/>
    <w:rsid w:val="00C422B8"/>
    <w:rsid w:val="00C638FC"/>
    <w:rsid w:val="00C73F4F"/>
    <w:rsid w:val="00C75CA4"/>
    <w:rsid w:val="00C76D84"/>
    <w:rsid w:val="00C76FB7"/>
    <w:rsid w:val="00C90BA2"/>
    <w:rsid w:val="00CA1927"/>
    <w:rsid w:val="00CB5DFD"/>
    <w:rsid w:val="00CD53E6"/>
    <w:rsid w:val="00CE777C"/>
    <w:rsid w:val="00CF3517"/>
    <w:rsid w:val="00CF471C"/>
    <w:rsid w:val="00D12066"/>
    <w:rsid w:val="00D316D9"/>
    <w:rsid w:val="00D43CDA"/>
    <w:rsid w:val="00D4692E"/>
    <w:rsid w:val="00D53465"/>
    <w:rsid w:val="00D53AF9"/>
    <w:rsid w:val="00D7185B"/>
    <w:rsid w:val="00D73CE5"/>
    <w:rsid w:val="00D8133D"/>
    <w:rsid w:val="00D821A1"/>
    <w:rsid w:val="00D94D3B"/>
    <w:rsid w:val="00D966ED"/>
    <w:rsid w:val="00D97D0D"/>
    <w:rsid w:val="00DA332C"/>
    <w:rsid w:val="00DA3552"/>
    <w:rsid w:val="00DA4BB4"/>
    <w:rsid w:val="00DB5665"/>
    <w:rsid w:val="00DC4C91"/>
    <w:rsid w:val="00DE0DE1"/>
    <w:rsid w:val="00DE4BE7"/>
    <w:rsid w:val="00E0732C"/>
    <w:rsid w:val="00E11205"/>
    <w:rsid w:val="00E21979"/>
    <w:rsid w:val="00E22E94"/>
    <w:rsid w:val="00E3018B"/>
    <w:rsid w:val="00E37859"/>
    <w:rsid w:val="00E40D05"/>
    <w:rsid w:val="00E52FC6"/>
    <w:rsid w:val="00E54DD3"/>
    <w:rsid w:val="00E55AAC"/>
    <w:rsid w:val="00E71625"/>
    <w:rsid w:val="00E80228"/>
    <w:rsid w:val="00E86ABA"/>
    <w:rsid w:val="00E879AC"/>
    <w:rsid w:val="00E9326C"/>
    <w:rsid w:val="00EB2F38"/>
    <w:rsid w:val="00ED2411"/>
    <w:rsid w:val="00ED67F4"/>
    <w:rsid w:val="00ED7F7E"/>
    <w:rsid w:val="00EE2EDC"/>
    <w:rsid w:val="00EE7FD5"/>
    <w:rsid w:val="00EF5348"/>
    <w:rsid w:val="00EF715C"/>
    <w:rsid w:val="00F073ED"/>
    <w:rsid w:val="00F13322"/>
    <w:rsid w:val="00F233D7"/>
    <w:rsid w:val="00F33F9C"/>
    <w:rsid w:val="00F45A92"/>
    <w:rsid w:val="00F46233"/>
    <w:rsid w:val="00F75F98"/>
    <w:rsid w:val="00F900B0"/>
    <w:rsid w:val="00F93812"/>
    <w:rsid w:val="00FA179B"/>
    <w:rsid w:val="00FA5A85"/>
    <w:rsid w:val="00FA650C"/>
    <w:rsid w:val="00FC15AB"/>
    <w:rsid w:val="00FF27F5"/>
    <w:rsid w:val="010C6E9D"/>
    <w:rsid w:val="03DD1FDA"/>
    <w:rsid w:val="06D41BB7"/>
    <w:rsid w:val="06FD7517"/>
    <w:rsid w:val="070C34A0"/>
    <w:rsid w:val="079B012D"/>
    <w:rsid w:val="09435587"/>
    <w:rsid w:val="0D463A6B"/>
    <w:rsid w:val="0DB673CF"/>
    <w:rsid w:val="0DCA0B38"/>
    <w:rsid w:val="0E483BDE"/>
    <w:rsid w:val="0ECC254B"/>
    <w:rsid w:val="118971BA"/>
    <w:rsid w:val="11EE2068"/>
    <w:rsid w:val="14883E42"/>
    <w:rsid w:val="15011344"/>
    <w:rsid w:val="1537775D"/>
    <w:rsid w:val="15453276"/>
    <w:rsid w:val="15976AD0"/>
    <w:rsid w:val="15D52E03"/>
    <w:rsid w:val="15E42BA8"/>
    <w:rsid w:val="184C3A41"/>
    <w:rsid w:val="194D204C"/>
    <w:rsid w:val="1A100C19"/>
    <w:rsid w:val="1A2D12B9"/>
    <w:rsid w:val="1AD30C61"/>
    <w:rsid w:val="1BAC1018"/>
    <w:rsid w:val="1BF92547"/>
    <w:rsid w:val="1CF308F9"/>
    <w:rsid w:val="1D2B48D2"/>
    <w:rsid w:val="1EFA75A0"/>
    <w:rsid w:val="1F950110"/>
    <w:rsid w:val="223F4A8A"/>
    <w:rsid w:val="23673947"/>
    <w:rsid w:val="243E39C7"/>
    <w:rsid w:val="244467FE"/>
    <w:rsid w:val="2550112A"/>
    <w:rsid w:val="25FC780C"/>
    <w:rsid w:val="26B22FFD"/>
    <w:rsid w:val="26BB3129"/>
    <w:rsid w:val="281A2361"/>
    <w:rsid w:val="282A5125"/>
    <w:rsid w:val="289B603E"/>
    <w:rsid w:val="298E4478"/>
    <w:rsid w:val="2A793AC8"/>
    <w:rsid w:val="2A9B4D05"/>
    <w:rsid w:val="2C162016"/>
    <w:rsid w:val="2CFD05D0"/>
    <w:rsid w:val="2E385701"/>
    <w:rsid w:val="2F1D3759"/>
    <w:rsid w:val="2F657B23"/>
    <w:rsid w:val="328855B3"/>
    <w:rsid w:val="340A3C21"/>
    <w:rsid w:val="342B6DEE"/>
    <w:rsid w:val="3499116F"/>
    <w:rsid w:val="37213B29"/>
    <w:rsid w:val="37544C5A"/>
    <w:rsid w:val="3AED3ABB"/>
    <w:rsid w:val="3BD2348C"/>
    <w:rsid w:val="3CFB41AF"/>
    <w:rsid w:val="3D0057B0"/>
    <w:rsid w:val="3DE525EB"/>
    <w:rsid w:val="3EE1473F"/>
    <w:rsid w:val="3F392320"/>
    <w:rsid w:val="4131037C"/>
    <w:rsid w:val="4143192B"/>
    <w:rsid w:val="41473FCE"/>
    <w:rsid w:val="417D2843"/>
    <w:rsid w:val="41BC0A7B"/>
    <w:rsid w:val="43CB5193"/>
    <w:rsid w:val="44380F44"/>
    <w:rsid w:val="453C43BE"/>
    <w:rsid w:val="453E5C83"/>
    <w:rsid w:val="45DA1EFF"/>
    <w:rsid w:val="46F038F9"/>
    <w:rsid w:val="47C36A7E"/>
    <w:rsid w:val="47C76774"/>
    <w:rsid w:val="47D431F8"/>
    <w:rsid w:val="491931B0"/>
    <w:rsid w:val="49AB525A"/>
    <w:rsid w:val="4AC95F9C"/>
    <w:rsid w:val="4AD8621E"/>
    <w:rsid w:val="4C447170"/>
    <w:rsid w:val="4C9F6DCB"/>
    <w:rsid w:val="4CB44D26"/>
    <w:rsid w:val="4CB64BE3"/>
    <w:rsid w:val="4D736727"/>
    <w:rsid w:val="4FDB2719"/>
    <w:rsid w:val="51283A7F"/>
    <w:rsid w:val="514F2DB9"/>
    <w:rsid w:val="51502D1A"/>
    <w:rsid w:val="516046C6"/>
    <w:rsid w:val="516048A4"/>
    <w:rsid w:val="51613B0C"/>
    <w:rsid w:val="526E590A"/>
    <w:rsid w:val="547750ED"/>
    <w:rsid w:val="54A1090F"/>
    <w:rsid w:val="55D53598"/>
    <w:rsid w:val="55FC4D1E"/>
    <w:rsid w:val="56C630A3"/>
    <w:rsid w:val="56E148AD"/>
    <w:rsid w:val="5828238E"/>
    <w:rsid w:val="58627478"/>
    <w:rsid w:val="5907174D"/>
    <w:rsid w:val="59BA277B"/>
    <w:rsid w:val="59E20EC6"/>
    <w:rsid w:val="5A0A6D75"/>
    <w:rsid w:val="5A2738F6"/>
    <w:rsid w:val="5ADB7221"/>
    <w:rsid w:val="5B604585"/>
    <w:rsid w:val="5BAC364F"/>
    <w:rsid w:val="5C446D3A"/>
    <w:rsid w:val="5D6015FB"/>
    <w:rsid w:val="5DD848F0"/>
    <w:rsid w:val="5E6F6865"/>
    <w:rsid w:val="61BC1D22"/>
    <w:rsid w:val="62541E7A"/>
    <w:rsid w:val="625F0B0D"/>
    <w:rsid w:val="634E3538"/>
    <w:rsid w:val="641C6C8A"/>
    <w:rsid w:val="6615466E"/>
    <w:rsid w:val="67247460"/>
    <w:rsid w:val="675D1AF8"/>
    <w:rsid w:val="67653D9B"/>
    <w:rsid w:val="68632059"/>
    <w:rsid w:val="69CC0861"/>
    <w:rsid w:val="6B5D0FE8"/>
    <w:rsid w:val="6C782FE6"/>
    <w:rsid w:val="6CC31803"/>
    <w:rsid w:val="6DAE0205"/>
    <w:rsid w:val="6E987154"/>
    <w:rsid w:val="6FDB1131"/>
    <w:rsid w:val="712D7A50"/>
    <w:rsid w:val="73373577"/>
    <w:rsid w:val="73FF71AB"/>
    <w:rsid w:val="746247CA"/>
    <w:rsid w:val="759E5A72"/>
    <w:rsid w:val="77803DC5"/>
    <w:rsid w:val="77856693"/>
    <w:rsid w:val="77E40FE9"/>
    <w:rsid w:val="793A5994"/>
    <w:rsid w:val="7A0E7E47"/>
    <w:rsid w:val="7B485AD3"/>
    <w:rsid w:val="7B9154AD"/>
    <w:rsid w:val="7BF736D2"/>
    <w:rsid w:val="7CFD0783"/>
    <w:rsid w:val="7E287536"/>
    <w:rsid w:val="7E375573"/>
    <w:rsid w:val="7EFDD520"/>
    <w:rsid w:val="7F6E3C1F"/>
    <w:rsid w:val="7F780D14"/>
    <w:rsid w:val="7FE534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E4887"/>
  <w15:docId w15:val="{2B440F49-04DB-4E80-A3EE-B1F660AF8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alloon Text"/>
    <w:basedOn w:val="a"/>
    <w:link w:val="a5"/>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semiHidden/>
    <w:unhideWhenUsed/>
    <w:qFormat/>
    <w:pPr>
      <w:jc w:val="left"/>
    </w:pPr>
    <w:rPr>
      <w:rFonts w:cs="Times New Roman"/>
      <w:kern w:val="0"/>
      <w:szCs w:val="21"/>
    </w:rPr>
  </w:style>
  <w:style w:type="character" w:styleId="ab">
    <w:name w:val="Strong"/>
    <w:basedOn w:val="a0"/>
    <w:uiPriority w:val="22"/>
    <w:qFormat/>
    <w:rPr>
      <w:b/>
    </w:rPr>
  </w:style>
  <w:style w:type="character" w:styleId="ac">
    <w:name w:val="FollowedHyperlink"/>
    <w:basedOn w:val="a0"/>
    <w:semiHidden/>
    <w:unhideWhenUsed/>
    <w:qFormat/>
    <w:rPr>
      <w:color w:val="555555"/>
      <w:u w:val="none"/>
    </w:rPr>
  </w:style>
  <w:style w:type="character" w:styleId="ad">
    <w:name w:val="Emphasis"/>
    <w:basedOn w:val="a0"/>
    <w:uiPriority w:val="20"/>
    <w:qFormat/>
  </w:style>
  <w:style w:type="character" w:styleId="ae">
    <w:name w:val="Hyperlink"/>
    <w:basedOn w:val="a0"/>
    <w:semiHidden/>
    <w:unhideWhenUsed/>
    <w:qFormat/>
    <w:rPr>
      <w:color w:val="555555"/>
      <w:u w:val="none"/>
    </w:rPr>
  </w:style>
  <w:style w:type="paragraph" w:customStyle="1" w:styleId="1">
    <w:name w:val="列出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character" w:customStyle="1" w:styleId="a5">
    <w:name w:val="批注框文本 字符"/>
    <w:basedOn w:val="a0"/>
    <w:link w:val="a4"/>
    <w:semiHidden/>
    <w:qFormat/>
    <w:rPr>
      <w:rFonts w:ascii="Calibri" w:hAnsi="Calibri" w:cs="黑体"/>
      <w:kern w:val="2"/>
      <w:sz w:val="18"/>
      <w:szCs w:val="18"/>
    </w:rPr>
  </w:style>
  <w:style w:type="paragraph" w:styleId="af">
    <w:name w:val="List Paragraph"/>
    <w:basedOn w:val="a"/>
    <w:uiPriority w:val="99"/>
    <w:unhideWhenUsed/>
    <w:qFormat/>
    <w:pPr>
      <w:ind w:firstLineChars="200" w:firstLine="420"/>
    </w:pPr>
  </w:style>
  <w:style w:type="character" w:customStyle="1" w:styleId="hover8">
    <w:name w:val="hover8"/>
    <w:basedOn w:val="a0"/>
    <w:qFormat/>
    <w:rPr>
      <w:color w:val="FFFFFF"/>
      <w:shd w:val="clear" w:color="auto" w:fill="F1430E"/>
    </w:rPr>
  </w:style>
  <w:style w:type="character" w:customStyle="1" w:styleId="on">
    <w:name w:val="on"/>
    <w:basedOn w:val="a0"/>
    <w:qFormat/>
    <w:rPr>
      <w:color w:val="FFFFFF"/>
      <w:shd w:val="clear" w:color="auto" w:fill="F1430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04B2DB-D4ED-4466-A665-7CC0A07E2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~WRL0001.tmp</Template>
  <TotalTime>24</TotalTime>
  <Pages>1</Pages>
  <Words>1696</Words>
  <Characters>9669</Characters>
  <Application>Microsoft Office Word</Application>
  <DocSecurity>0</DocSecurity>
  <Lines>80</Lines>
  <Paragraphs>22</Paragraphs>
  <ScaleCrop>false</ScaleCrop>
  <Company>HP</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107</cp:revision>
  <cp:lastPrinted>2022-02-24T01:36:00Z</cp:lastPrinted>
  <dcterms:created xsi:type="dcterms:W3CDTF">2022-02-25T04:05:00Z</dcterms:created>
  <dcterms:modified xsi:type="dcterms:W3CDTF">2024-07-26T08:14:00Z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FBDE059AA2EF4589A1467D24A9AE1029</vt:lpwstr>
  </property>
</Properties>
</file>